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d29a" w14:textId="eadd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14 маусымдағы № 110 "Темір ауданында тұрғын үй көмегін көрсету мөлшерін және тәртібін айқындау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5 маусымдағы № 227 шешімі. Ақтөбе облысы Әділет департаментінің Темір аудандық Әділет басқармасында 2018 жылғы 20 маусымда № 3-10-200 болып тіркелді. Күші жойылды - Ақтөбе облысы Темір аудандық мәслихатының 2024 жылғы 11 наурыздағы № 163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11.03.2024 № 163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 Үкіметінің 2018 жылғы 4 мамырдағы № 237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2017 жылғы 14 маусымдағы № 110 "Темір ауданында тұрғын үй көмегін көрсету мөлшерін және тәртібін айқындау туралы" (нормативтік құқықтық актілерді мемлекеттік тіркеу тізілімінде № 5599 тіркелген, 2017 жылы 25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мынадай мазмұндағы 3–1 және 3–2 тармақтарымен толықтырылсын:</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маслихатының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МҰСТАФИНА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