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d658" w14:textId="2d1d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Қарабұлақ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32-212 шешімі. Алматы облысы Әділет департаментінде 2018 жылы 25 мамырда № 4723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Қарабұлақ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еңгізіледі.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Жолдыбаев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32-212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Қарабұлақ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Қарабұлақ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Қарабұлақ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Қарабұлақ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Қарабұлақ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Қарабұлақ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Қарабұлақ ауылдық округінің әкімін сайлауды өткізуге аудан мәслихатына одан әрі ұсыну үшін Қарабұлақ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Қарабұлақ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Қарабұлақ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Қарабұлақ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Қарабұлақ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Қарабұлақ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Қарабұлақ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Қарабұлақ ауылдық округінің әкімі аппараты Қарабұлақ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Қарабұлақ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Қарабұлақ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