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7c93" w14:textId="ded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28 ақпандағы № 32-152 шешімі. Алматы облысы Әділет департаментінде 2018 жылы 14 наурызда № 4554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104–бабының 4–тармағының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2018–2020 жылдарға арналған бюджеті туралы" 2017 жылғы 25 желтоқсандағы № 29-140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3–қосымшаларына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9502585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142903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10534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9339745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2033602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1015998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6290145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9560784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60959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97403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36444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119158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119158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шығыстарына;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сумен жабдықтауды ұйымдастыруға;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ауылдарда, кенттерде, ауылдық округтерде автомобиль жолдарының жұмыс істеуін қамтамасыз етуге;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28 ақпандағы "Райымбек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туралы" № 32-152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25 желтоқсандағы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29-140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