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f695" w14:textId="b05f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Басқұншы ауылдық округі әкімінің 2018 жылғы 6 желтоқсандағы № 96 шешімі. Алматы облысы Әділет департаментінде 2018 жылы 20 желтоқсанда № 4970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Басқұншы ауылдық округінің Алмалы ауылы халқының пікірін ескере отырып және Алматы облысының ономастикалық комиссиясының 2018 жылғы 26 қыркүйектегі қорытындысы негізінде, Панфилов ауданы Басқұншы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Басқұншы ауылдық округінің Алмалы ауылындағы № 1 көшесіне "Достық" атауы берілсін.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Басқұншы ауылдық округінің Алмалы ауылындағы "Жастар-1" көшесі "Береке" көшесіне қайта аталсын.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Медетбек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