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e1a7" w14:textId="383e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облысының ауылдық округі мен кейбір ауылдарын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Жамбыл облысы әкімдігінің 2018 жылғы 14 маусымдағы № 115 қаулысы және Жамбыл облысы мәслихатының 2018 жылғы 29 маусымдағы № 24-7 шешімі. Жамбыл облысы Әділет департаментінде 2018 жылғы 13 шілдеде № 3903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Құжаттың мәтінінде тұпнұсқаның пунктуациясы мен орфографиясы сақталған.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әкiмшiлiк-аумақтық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тiл туралы" Қазақстан Республикасының 1997 жылғы 11 шiлдедегі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тиісті аумақ халқының пікірін ескере отырып және 2018 жылғы 19 сәуірдегі облыстық ономастика комиссиясының қорытындысы негізінде Жамбыл облысының әкімдігі ҚАУЛЫ ЕТЕДІ және Жамбыл облысының мәслихаты 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Жамбыл облысының мынадай ауылдық округі мен ауылдары: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Тұрар Рысқұлов ауданы Новосель ауылдық округі Ақниет ауылдық округі;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Тұрар Рысқұлов ауданы Новосель ауылдық округінің Юбилейное ауылы Дінмұхамед Қонаев ауылы;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Шу ауданы Төле би ауылдық округінің Зверохозяйство ауылы Көкжиек ауылы болып қайта аталсын.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нормативтік құқықтық актінің орындалуын бақылау Жамбыл облыстық мәслихатының экономика, бюджет, салық және жергілікті өзін-өзі басқару мәселелері жөніндегі тұрақты комиссиясына және облыс әкімінің орынбасары Е.Манжуовқа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нормативтік құқықтық акті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Мырзахметов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Сәрсенов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 Қарашолақов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