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b73" w14:textId="507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білім беру саласындағы мемлекеттік көрсетілетін қызметтер регламенттерін бекіту туралы" Жамбыл облысы әкімдігінің 2015 жылғы 25 маусымдағы № 132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19 желтоқсандағы № 263 қаулысы. Жамбыл облысы Әділет департаментінде 2018 жылғы 20 желтоқсанда № 4042 болып тіркелді. Күші жойылды - Жамбыл облысы әкімдігінің 2020 жылғы 20 тамыздағы № 189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20.08.2020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білім беру саласындағы мемлекеттік көрсетілетін қызметтер регламенттерін бекіту туралы" Жамбыл облысы әкімдігінің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8 тамызында "Ақ жол" газетінде жарияланған) мынадай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"Дамуында проблемалары бар балалар мен жасөспірімдерді оңалту және әлеуметтік бейімдеу"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көрсетудің нәтижесі стандартқа 1-қосымшаға сәйкес берілген нысан бойынша анықтама болып табылады.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көрсетудің нәтижесі: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 туралы қолхат (еркін нысанда);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үйде жеке тегін оқыту туралы бұйрық.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