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3c59" w14:textId="5ea3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Сарыкемер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Бәйтерек ауылдық округі әкімінің 2018 жылғы 11 маусымдағы № 46 шешімі. Жамбыл облысы Әділет департаментінде 2018 жылғы 2 шілдеде № 3879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 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 сәуірдегі қорытындысы негізінде және тиісті аумақ халқының пікірін ескере отырып, ауылдық округ әкімі 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ауылдық округінің Сарыкемер ауылының көше атаулары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Автопарк көшесі Саяхат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Звездная көшесінің 2-бұрылысы Зербұлақ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Звездная көшесінің 5-бұрылысы Ақбұлым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Новая көшесі Жиделі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Бәйтерек ауылдық округі әкімінің орынбасары Жуманов Куаныш Жетписбаевичке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