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74a7" w14:textId="4207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Ботамойнақ ауылдық округі әкімінің 2018 жылғы 27 маусымдағы № 41 шешімі. Жамбыл облысы Әділет департаментінде 2018 жылғы 11 шілдеде № 3897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Ботамойнақ ауылдық округінің Байзақ ауылының көше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ТСФ көшесі Жеңіс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МТШ көшесі Жеті төбе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Талас көшесінің 2 бұрылысын Ақбұлақ көшесіне.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Ботамойнақ ауылдық округі әкімінің орынбасары Байдилдаева Толкынай Амирбековнаға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