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a24" w14:textId="1f8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Жеңіс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Дихан ауылдық округі әкімінің 2018 жылғы 26 шілдедегі № 56 шешімі. Жамбыл облысы Әділет департаментінде 2018 жылғы 9 тамызда № 3925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 Диқан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Диқан ауылдық округінің Жеңіс ауылындағы көше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Мәңгілік ел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Тәуелсіздік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Клубная көшесі Алаш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 Көкөзек көшесіне.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