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03ef" w14:textId="d100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саяжайы кооперативінің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Диқан ауылдық округі әкімінің 2018 жылғы 26 шілдедегі № 57 шешімі. Жамбыл облысы Әділет департаментінде 2018 жылғы 9 тамызда № 3926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19 сәуірдегі қорытындысы негізінде және тиісті аумақ халқының пікірін ескере отырып Диқан ауылдық округ әкімі ШЕШІМ ҚАБЫЛДАДЫ: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Диқан ауылдық округінің Денсаулық саяжайындағы көше атаулары өзгертілсін: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Цветочная көшесі Зербұлақ көшесіне;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Вишневая көшесі Шиелі көшесіне;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Абрикосовая көшесі Жиделі көшесіне;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Виноградная көшесі Тораңғы көшесіне;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Клубничная көшесі Алмалы көшесіне;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Степная көшесі Ақдала көшесіне.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Диқан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