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ba11" w14:textId="4c5b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Қарой ауылдық округінің Октябрь, Пригородное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Қарой ауылдық округі әкімінің 2018 жылғы 31 қаңтардағы № 7 шешімі. Жамбыл облысы Әділет департаментінде 2018 жылғы 14 ақпанда № 3700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жылдың 24 қарашадағы қорытындысы негізінде және тиiстi аумақ халқының пiкiрiн ескере отырып ауылдық округі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Қарой ауылдық округінің Октябрь, Пригородное ауылдарындағы көше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 ауылы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 Сұлусаз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Пригородное ауылы бойынша: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 Таусамалы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Қазына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Ойлы көшесіне;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Седовка көшесі Мыңбұлақ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бұрылысы Теректі көшесіне;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көшесінің 3-бұрылысы Ақсуат көшесіне.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Қарой ауылдық округі әкімінің орынбасары Г.О. Инкашеваға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Қарой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