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98a2" w14:textId="7ab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арық ауылдық округінің Ақтөбе және Терс-Ащыбұлақ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Қызыларық ауылдық округі әкімінің 2018 жылғы 4 қаңтардағы № 1 шешімі. Жамбыл облысы Әділет департаментінде 2018 жылғы 16 қантарда № 36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дық округ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ызыларық ауылдық округінің Ақтөбе, Терс-Ащыбұлақ ауылдар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қтөб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тская көшесі – Рухания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ая көшесі - Қайнар 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бережная көшесі - Жаңатұр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ерс-Ащыбұлақ ауыл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көшесі – Айна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а көшесі – 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жная көшесі - М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Қызыларық ауылдық округі әкімі аппаратының бас маманы Нұрсұлтан Нұржанұлы Сырлан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