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2641" w14:textId="3ee2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Степной ауылдық округінің Степной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Степной ауылдық округі әкімінің 2018 жылғы 29 мамырдағы № 52 шешімі. Жамбыл облысы Әділет департаментінде 2018 жылғы 14 маусымда № 3866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тұпнұсқаның пунктуациясы мен орфографиясы сақталған.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Степной ауылдық округінің Степной ауылындағы Первомайская көшесінің атауы Саябақ көшесі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Степной ауылдық округі әкімі аппаратының бас маманы Бике Абдыевна Караджановаға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