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325e" w14:textId="f9d3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Сортөбе ауылдық округінің Сөртөбе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Сортөбе ауылдық округі әкімінің 2018 жылғы 29 мамырдағы № 43 шешімі. Жамбыл облысы Әділет департаментінде 2018 жылғы 15 маусымда № 3868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2018 жылғы 19 сәуірдегі қорытындысы негізінде және тиісті аумақ халқының пікірін ескере отырып, ауылдық округ әкімі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Сортөбе ауылдық округінің Сортөбе ауылындағы Мир көшесінің атауы Алмалы көшесі болып өзгертілсін.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Сортөбе ауылдық округі әкімінің орынбасары Мадый Багиевич Гаровқа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И.Буларов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