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db2" w14:textId="1c78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 Меркі стансасының және Ойтал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2018 жылғы 14 ақпандағы № 16 шешімі. Жамбыл облысы Әділет департаментінде 2018 жылғы 1 наурызда № 3723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Ойтал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Ойтал ауылдық округі Меркі стансасының және Ойтал ауылының көше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К.Цеткина көшесі Наурыз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Первомайская көшесі Ақниет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2-ші бұрылысы Қоржайлау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Пионерская көшесі Бақыт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Нефтебазная көшесі Үміт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Набережная көшесі Атамекен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Суворов көшесі Балауса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Кавказская көшесі Көктем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Тельман көшесі Ырыс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С.Киров көшесі Рауан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В.Жуковский көшесі Қарлығаш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Почтовая көшесі Мерей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Почтовая 1-ші бұрылысы Мерей бұрылысына;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М.Рощинский көшесі Бейбітшілік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Железнодорожная бұрылысы Керуен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Киевский көшесі Ынтымақ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Гвардейская көшесі Самрұқ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Д.Фурманов көшесі Атамұра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Космонавтов көшесі Игілік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Тихий бұрылысы Шаттық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Маслозаводская көшесі Ізгілік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Интернациональный көшесі Нұрлы жол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П.Лумумба көшесі Алатау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А.Жданов көшесі Мирас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Клубная көшесі Арайлы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Свеклопункт көшесі Мамыр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Заводская көшесі Алаш көшесіне;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Ч.Пруд көшесі Тоғансай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Ойтал ауылдық округі әкімінің орынбасары Г.Оспанбековаға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