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3f6f" w14:textId="5d63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Ақарал ауылдық округінің Сыпатай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Ақарал ауылдық округі әкімінің 2018 жылғы 22 қаңтардағы № 1-01/07 шешімі. Жамбыл облысы Әділет департаментінде 2018 жылғы 14 ақпанда № 3702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әкімшілік–аумақтық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2017 жылғы 24 қарашадағы қорытындысы негізінде және тиісті аумақ халқының пікірін ескере отырып, ауылдық округ әкімі ШЕШІМ ҚАБЫЛДАДЫ: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Ақарал ауылдық округінің Сыпатай ауылы көшелерінің атаулары өзгертілсін: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 - Бәйтерек;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- Орталық;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Совхозная көшесі - Тәуелсіздік;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- Жиделі.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Ақарал ауылдық округі әкімі аппаратының бас маманы А. Жасыбаевқа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Ақарал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Жантайбеков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