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6eda" w14:textId="34d6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Қарағанды қалалық мәслихатының 2012 жылғы 16 сәуірдегі II сессиясының "Қарағанды қаласының тұрғындарына тұрғын үй көмегін көрсету Ережесін бекіту туралы" № 32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2018 жылғы 18 шілдедегі VI шақырылған ХХVII сессиясының № 308 шешімі. Қарағанды облысының Әділет департаментінде 2018 жылғы 24 шілдеде № 4883 болып тіркелді. Күші жойылды - Қарағанды қалалық мәслихатының 2024 жылғы 3 шілдедегі № 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2012 жылғы 16 сәуірдегі "Қарағанды қаласының тұрғындарына тұрғын үй көмегін көрсету Ережесін бекіту туралы" № 32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(Нормативтiк құқықтық актiлердi мемлекеттiк тiркеу тiзiлiмiнде № 8-1-154 болып тiркелген, 2012 жылғы 24 мамырдағы №064 (970) "Взгляд на события" газетiнде жарияланған) келесі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Қарағанды қаласының тұрғындарына тұрғын үй көмегiн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1-1) тармақшасымен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"Азаматтарға арналған үкімет" мемлекеттік корпорациясы" коммерциялық емес акционерлік қоғамы (бұдан әрі – Мемлекеттік корпорация)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шешімімен құрылған заңды тұлға;";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Отбасы (азамат) (не нотариат куәландырған сенімхат бойынша оның өкілі) тұрғын үй көмегін тағайындау үшін Мемлекеттік корпорацияға және/немесе "электрондық үкімет" веб-порталы арқылы Қазақстан Республикасы Үкіметінің 2009 жылғы 30 желтоқсандағы № 2314 "Тұрғын үй көмегін көрсету ережесін бекіту туралы" қаулысымен бекітілген,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 құжаттарды ұсынады.".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 және әлеуметтік сала мәселелері жөніндегі тұрақты комиссияға (төрағасы Жанділ Ахуанұлы Мұқтаров)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Мазитов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"Қарағанды қаласының 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әлеуметтік 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18 шілде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