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fdd" w14:textId="36da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Абай ауданы бойынша пайдаланылмайтын ауылшаруашылығы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2018 жылғы 19 сәуірдегі 29 сессиясының № 29/325 шешімі. Қарағанды облысының Әділет департаментінде 2018 жылғы 27 сәуірде № 4731 болып тіркелді. Күші жойылды - Қарағанды облысы Абай аудандық мәслихатының 2022 жылғы 11 наурыздағы № 20/199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11.03.2022 № 20/199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Абай ауданы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01.01.2020 дейін қолданыста болды - Қарағанды облысы Абай аудандық мәслихатының 19.04.2018 № 29/325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2016 жылғы 21 сәуірдегі 2 сессияның № 2/25 "Абай ауданы бойынша пайдаланылмайтын ауыл шаруашылығы мақсатындағы жерлерге жер салығының базалық мөлшерлемелері мен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3764 болып тіркелген, "Әділет" ақпараттық-құқықтық жүйесінде 2016 жылғы 13 мамырда және 2016 </w:t>
      </w:r>
      <w:r>
        <w:rPr>
          <w:rFonts w:ascii="Times New Roman"/>
          <w:b w:val="false"/>
          <w:i w:val="false"/>
          <w:color w:val="000000"/>
          <w:sz w:val="28"/>
        </w:rPr>
        <w:t>жылғы 30 сәуірдегі № 17 (4120) "Абай-Ақиқат" аудандық газетінде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2-тармағы 2020 жылғы 1 қаңтарға дейін қолданылады.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Дүйсенбаев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2018 жылғы 19 сәуір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"Абай ауданының жер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құрылысы бөлімі" мемлекеттік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2018 жылғы 19 сәуір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