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4f1c" w14:textId="4654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Қарқаралы қаласының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27 сәуірдегі XXVII сессиясының № VI-27/237 шешімі. Қарағанды облысының Әділет департаментінде 2018 жылғы 18 мамырда № 4758 болып тіркелді. Күші жойылды - Қарағанды облысы Қарқаралы аудандық мәслихатының 2019 жылғы 25 желтоқсандағы № VI-51/429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25.12.2019 № VI-51/429 (01.01.2020 бастап қолданысқа енгізіледі және ресми жариялауға жатады)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Қарқаралы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жылдың 1 қаңтарынан туындайтын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 VI–27/237 шешіміне қосымша</w:t>
            </w:r>
          </w:p>
        </w:tc>
      </w:tr>
    </w:tbl>
    <w:bookmarkStart w:name="z10" w:id="3"/>
    <w:p>
      <w:pPr>
        <w:spacing w:after="0"/>
        <w:ind w:left="0"/>
        <w:jc w:val="left"/>
      </w:pPr>
      <w:r>
        <w:rPr>
          <w:rFonts w:ascii="Times New Roman"/>
          <w:b/>
          <w:i w:val="false"/>
          <w:color w:val="000000"/>
        </w:rPr>
        <w:t xml:space="preserve"> Қарқаралы ауданы Қарқаралы қаласының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Қарқаралы ауданының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Қарқаралы қаласы (бұдан әрі - қала)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қала әкімі аппаратының қала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қаланың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 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қала әкімін сайлауды өткізуге аудан мәслихатына одан әрі ұсыну үшін қала әкімінің қызметіне Қарқаралы ауданының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қаланың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қала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қала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Қарқаралы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қала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қала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Қарқаралы ауданының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Қала әкімі аппараты қала әкімнің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қала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қала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Қарқаралы ауданының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Қарқаралы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