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3178" w14:textId="d843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Нұра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2018 жылғы 26 маусымдағы XXV сессиясының № 258 шешімі. Қарағанды облысының Әділет департаментінде 2018 жылғы 11 шілдеде № 4865 болып тіркелді. Күші жойылды - Қарағанды облысы Нұра аудандық мәслихатының 2021 жылғы 28 қазандағы № 66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28.10.2021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39 - 3 бабының </w:t>
      </w:r>
      <w:r>
        <w:rPr>
          <w:rFonts w:ascii="Times New Roman"/>
          <w:b w:val="false"/>
          <w:i w:val="false"/>
          <w:color w:val="000000"/>
          <w:sz w:val="28"/>
        </w:rPr>
        <w:t>3 -1 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15630 болып тіркелген)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Нұра ауданы Нұра кентінің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Жақантай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2018 жылғы 26 маусымдағы</w:t>
            </w:r>
            <w:r>
              <w:br/>
            </w:r>
            <w:r>
              <w:rPr>
                <w:rFonts w:ascii="Times New Roman"/>
                <w:b w:val="false"/>
                <w:i w:val="false"/>
                <w:color w:val="000000"/>
                <w:sz w:val="20"/>
              </w:rPr>
              <w:t>25 сессияның № 258 шешімімен</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Нұра ауданы Нұра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Нұра ауданы Нұра кентінің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 - 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15630 болып тіркелген)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Нұра аудандық мәслихаты (бұдан әрі - аудандық мәслихат)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Нұра кенті (бұдан әрі - кент)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кент әкімі аппаратының (бұдан әрі - кент әкімінің аппараты) кентің коммуналдық меншігін (жергілікті өзін - 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 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кент әкімің сайлауды өткізуге аудандық мәслихатына одан әрі ұсыну үшін кент әкімінің қызметіне Нұра ауданының әкімі (бұдан әрі - аудан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Кент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кент әкімінің аппараты, жиналыс мүшелерінің, кент әкімімен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онда қаралатын мәселелеріне қарай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тұлғалар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регламентің 2-тарауында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аудандық мәслихаттын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Кент әкімінің аппараты кент әкімнің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