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b320" w14:textId="235b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Қаратомар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Қаратомар ауылдық округінің әкімінің 2018 жылғы 10 тамыздағы № 01 шешімі. Қарағанды облысының Әділет департаментінде 2018 жылғы 20 тамызда № 4901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 –өзі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Қаратомар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Қаратомар ауылдық округіндегі Сенокосное ауылы көшелері келесідей: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Химстрой көшесін – Кенесары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Спортивная көшесін – Ыбырай Алтынсарин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Степная көшесін – Ұлы дала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Сенокосная көшесін – Абай Құнанбаев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Урожайная көшесін – Алтын Орда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Центральная көшесін – Әл - Фараби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Новостройка көшесін – Абылай хан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Школьная көшесін – Қазыбек би көшесіне;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Механизаторская көшесін – Тұмар көшесіне;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Строителей көшесін – Нұра көшесіне;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Айнабулакская көшесін – Айнабұлақ көшесіне қайта аталсын.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алғаш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