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d7fb" w14:textId="a25d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5 мамырдағы № 21/181 шешімі. Қарағанды облысының Әділет департаментінде 2018 жылғы 18 мамырда № 4761 болып тіркелді. Күші жойылды - Қарағанды облысы Шет аудандық мәслихатының 2020 жылғы 24 маусымдағы № 39/364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24.06.2020 № 39/364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10 (он) есе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базалық мөлшерлемелері 10 (он) есе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Шет аудандық мәслихатының 2015 жылғы 17 қыркүйектегі "Қазақстан Республикасының жер заңнамасына сәйкес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№ 32/283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3421 болып тіркелген, 2015 жылғы 7 қазандағы № 41 (10557) "Шет Шұғыласы" газетінде, "Әділет" ақпараттық-құқықтық жүйесінде 2015 жылғы 23 қазанда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аудан әкімінің орынбасары М. Жұмкинге және аудандық мәслихаттың құрылыс, автокөлік, коммуналдық шаруашылық, аграрлық мәселелер және экология жөніндегі тұрақты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