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de25" w14:textId="cead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8 тамыздағы № 05-16/148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2018 жылғы 14 қыркүйектегі № 256 шешімі. Қызылорда облысының Әділет департаментінде 2018 жылғы 9 қазанда № 6454 болып тіркелді. Күші жойылды - Қызылорда облысы Жаңақорған аудандық мәслихатының 2020 жылғы 2 қазандағы № 495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02.10.2020 </w:t>
      </w:r>
      <w:r>
        <w:rPr>
          <w:rFonts w:ascii="Times New Roman"/>
          <w:b w:val="false"/>
          <w:i w:val="false"/>
          <w:color w:val="ff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 оның мөлшерлерін белгілеу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Жаңақорған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Жаңақорған аудандық мәслихатының 2017 жылғы 8 тамыздағы </w:t>
      </w:r>
      <w:r>
        <w:rPr>
          <w:rFonts w:ascii="Times New Roman"/>
          <w:b w:val="false"/>
          <w:i w:val="false"/>
          <w:color w:val="000000"/>
          <w:sz w:val="28"/>
        </w:rPr>
        <w:t>№ 05-16/148</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6045 нөмірімен тіркелген, Қазақстан Республикасы нормативтік құқықтық актілерінің эталондық бақылау банкінде 2017 жылғы 7 қыркүйекте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жаңа редакцияда жазылсын:</w:t>
      </w:r>
    </w:p>
    <w:bookmarkStart w:name="z8" w:id="3"/>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Қызылорда облысы бойынша филиалы Жаңақорған аудандық бөлімі (бұдан әрі- Бөлім)";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абзацы жаңа редакцияда жазылсын:</w:t>
      </w:r>
    </w:p>
    <w:bookmarkStart w:name="z10" w:id="4"/>
    <w:p>
      <w:pPr>
        <w:spacing w:after="0"/>
        <w:ind w:left="0"/>
        <w:jc w:val="both"/>
      </w:pPr>
      <w:r>
        <w:rPr>
          <w:rFonts w:ascii="Times New Roman"/>
          <w:b w:val="false"/>
          <w:i w:val="false"/>
          <w:color w:val="000000"/>
          <w:sz w:val="28"/>
        </w:rPr>
        <w:t>
      "колледж және жалпы білім беретін мектептен кейін "Бакалавр" академиялық дәрежесін алу үшін – жылына бір рет, 392 айлық есептік көрсеткіштен артық емес;";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 алушы арасында екі жақты келісім шарт жасалады.".</w:t>
      </w:r>
    </w:p>
    <w:bookmarkEnd w:id="5"/>
    <w:bookmarkStart w:name="z13" w:id="6"/>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кезекті ХХІV сессиясының төрағасы</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Абжалелова</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 xml:space="preserve">"Қызылорда облысының жұмыспен </w:t>
            </w:r>
            <w:r>
              <w:br/>
            </w:r>
            <w:r>
              <w:rPr>
                <w:rFonts w:ascii="Times New Roman"/>
                <w:b w:val="false"/>
                <w:i/>
                <w:color w:val="000000"/>
                <w:sz w:val="20"/>
              </w:rPr>
              <w:t xml:space="preserve">қамтудыүйлестіружәне әлеуметтік </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____________________ Т.Дүйсебаев</w:t>
            </w:r>
            <w:r>
              <w:br/>
            </w:r>
            <w:r>
              <w:rPr>
                <w:rFonts w:ascii="Times New Roman"/>
                <w:b w:val="false"/>
                <w:i/>
                <w:color w:val="000000"/>
                <w:sz w:val="20"/>
              </w:rPr>
              <w:t>14 қыркүйек 2018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