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9b7c" w14:textId="bbb9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орналасқан "Даурен Д" шаруа қожалығының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әкімінің 2018 жылғы 30 қаңтардағы № 4 шешімі. Павлодар облысының Әділет департаментінде 2018 жылғы 14 ақпанда № 5857 болып тіркелді. Күші жойылды - Павлодар облысы Ақсу қаласы әкімінің 2018 жылғы 31 шілдедегі № 8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әкімінің 2018 жылғы 31.07.2018 № 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Ақсу қаласының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қаласында орналасқан "Даурен Д" шаруа қожалығының аумағында ірі қара малдарда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Ақсу қалалық аумақтық инспекциясы" мемлекеттік мекемесіне (келісім бойынша), "Ақсу қалалық қоғамдық денсаулық сақтау басқармасы" республикалық мемлекеттік мекемесіне (келісім бойынша), "Ақсу қаласының ветеринария бөлімі" мемлекеттік мекемесіне осы шешімнен туындайтын қажетті шараларды қолдану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Ақсу қаласы әкімінің орынбасары М.А. Мусинге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"30"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"30" қаңтар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