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ef759" w14:textId="41ef7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әкімдігі атқарушы органдары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Павлодар облысы Ақсу қалалық әкімдігінің 2018 жылғы 4 мамырдағы № 278/5 қаулысы. Павлодар облысының Әділет департаментінде 2018 жылғы 23 мамырда № 5978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Ақсу қаласы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Ақсу қаласы әкімдігі атқарушы органдардың "Б" корпусы әкімшілік мемлекеттік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Ақсу қаласы әкімдігінің 2017 жылғы 7 наурыздағы "Ақсу қаласы әкімдігі атқарушы органдары "Б" корпусы мемлекеттік әкімшілік қызметшілерінің қызметін бағалау әдістемесін бекіту туралы" № 124/2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5443 болып тіркелген, 2017 жылғы 11 сәуірде "Қазақстан Республикасы нормативтік құқықтық актілерінің электрондық түрдегі эталондық бақылау банкі" ақпараттық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Б.Х. Нуркеноваға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2018 жылғы "4" мамырдағы</w:t>
            </w:r>
            <w:r>
              <w:br/>
            </w:r>
            <w:r>
              <w:rPr>
                <w:rFonts w:ascii="Times New Roman"/>
                <w:b w:val="false"/>
                <w:i w:val="false"/>
                <w:color w:val="000000"/>
                <w:sz w:val="20"/>
              </w:rPr>
              <w:t>№ 278/5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Ақсу қаласы әкімдігі атқарушы органдарының "Б" корпусы мемлекеттік  әкімшілік қызметшілерінің қызметін бағалау әдістемесі</w:t>
      </w:r>
    </w:p>
    <w:bookmarkEnd w:id="5"/>
    <w:p>
      <w:pPr>
        <w:spacing w:after="0"/>
        <w:ind w:left="0"/>
        <w:jc w:val="both"/>
      </w:pPr>
      <w:r>
        <w:rPr>
          <w:rFonts w:ascii="Times New Roman"/>
          <w:b w:val="false"/>
          <w:i w:val="false"/>
          <w:color w:val="ff0000"/>
          <w:sz w:val="28"/>
        </w:rPr>
        <w:t xml:space="preserve">
      Ескерту. Қосымша жаңа редакцияда – Павлодар облысы Ақсу қаласы әкімдігінің 11.04.2023 </w:t>
      </w:r>
      <w:r>
        <w:rPr>
          <w:rFonts w:ascii="Times New Roman"/>
          <w:b w:val="false"/>
          <w:i w:val="false"/>
          <w:color w:val="ff0000"/>
          <w:sz w:val="28"/>
        </w:rPr>
        <w:t>№ 297/3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"Б" корпусы мемлекеттік әкімшілік қызметшілерінің қызметін бағалаудың тәртібін айқындайды.</w:t>
      </w:r>
    </w:p>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осы әдістемесі Ақсу қаласы әкімдігінің қаулысымен бекітілген.</w:t>
      </w:r>
    </w:p>
    <w:p>
      <w:pPr>
        <w:spacing w:after="0"/>
        <w:ind w:left="0"/>
        <w:jc w:val="both"/>
      </w:pPr>
      <w:r>
        <w:rPr>
          <w:rFonts w:ascii="Times New Roman"/>
          <w:b w:val="false"/>
          <w:i w:val="false"/>
          <w:color w:val="000000"/>
          <w:sz w:val="28"/>
        </w:rPr>
        <w:t>
      3.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Е-1, Е-2, Е-3, E-R-1, E-R-2, E-R-3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p>
      <w:pPr>
        <w:spacing w:after="0"/>
        <w:ind w:left="0"/>
        <w:jc w:val="both"/>
      </w:pPr>
      <w:r>
        <w:rPr>
          <w:rFonts w:ascii="Times New Roman"/>
          <w:b w:val="false"/>
          <w:i w:val="false"/>
          <w:color w:val="000000"/>
          <w:sz w:val="28"/>
        </w:rPr>
        <w:t>
      8.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11. Бағалауды ұйымдастырушылық сүйемелдеуді "Ақсу қаласы әкімінің аппараты" мемлекеттік мекемесінің персоналды басқару бөлімі (бұдан әрі - персоналды басқару бөлімі),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бөлімі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12. Персоналды басқару бөлімі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бөлімі қарастырады.</w:t>
      </w:r>
    </w:p>
    <w:p>
      <w:pPr>
        <w:spacing w:after="0"/>
        <w:ind w:left="0"/>
        <w:jc w:val="both"/>
      </w:pPr>
      <w:r>
        <w:rPr>
          <w:rFonts w:ascii="Times New Roman"/>
          <w:b w:val="false"/>
          <w:i w:val="false"/>
          <w:color w:val="000000"/>
          <w:sz w:val="28"/>
        </w:rPr>
        <w:t>
      18.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19.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20. Персоналды басқару бөлімінің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бөлімінің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xml:space="preserve">
      23. НМИ-ды бағалаушы адаммен "Ақсу қаласының экономика және бюджеттік жоспарлау бөлімі" мемлекеттік мекемесінің,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бөлімі "Ақсу қаласының экономика және бюджеттік жоспарлау бөлімі" мемлекеттік мекемесімен НМИ-дің нақты мәндеріне алдын ала есептеу жүргізеді және оны Үлгілік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27. Ақпараттық жүйе немесе ол болмаған жағдайда персоналды басқару бөлімі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бөлімі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31. Ақпараттық жүйе немесе ол болмаған жағдайда персоналды басқару бөлімі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xml:space="preserve">
      37. Персоналды басқару бөлімі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бөлімімен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Үлгілік әдістеменің 13-тармағында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Үлгілік әдістеменің 13-тармағында көзделген тәртіппен өткізіледі.</w:t>
      </w:r>
    </w:p>
    <w:p>
      <w:pPr>
        <w:spacing w:after="0"/>
        <w:ind w:left="0"/>
        <w:jc w:val="both"/>
      </w:pPr>
      <w:r>
        <w:rPr>
          <w:rFonts w:ascii="Times New Roman"/>
          <w:b w:val="false"/>
          <w:i w:val="false"/>
          <w:color w:val="000000"/>
          <w:sz w:val="28"/>
        </w:rPr>
        <w:t>
      41. Персоналды басқару бөлімі калибрлеу сессиясының қызметін ұйымдастырады.</w:t>
      </w:r>
    </w:p>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бөлімі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w:t>
            </w:r>
            <w:r>
              <w:br/>
            </w:r>
            <w:r>
              <w:rPr>
                <w:rFonts w:ascii="Times New Roman"/>
                <w:b w:val="false"/>
                <w:i w:val="false"/>
                <w:color w:val="000000"/>
                <w:sz w:val="20"/>
              </w:rPr>
              <w:t>қолы _________________</w:t>
            </w:r>
          </w:p>
        </w:tc>
      </w:tr>
    </w:tbl>
    <w:bookmarkStart w:name="z58" w:id="6"/>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6"/>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Қызметшінің лауазымы: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w:t>
            </w:r>
            <w:r>
              <w:br/>
            </w:r>
            <w:r>
              <w:rPr>
                <w:rFonts w:ascii="Times New Roman"/>
                <w:b w:val="false"/>
                <w:i w:val="false"/>
                <w:color w:val="000000"/>
                <w:sz w:val="20"/>
              </w:rPr>
              <w:t>қолы _________________</w:t>
            </w:r>
          </w:p>
        </w:tc>
      </w:tr>
    </w:tbl>
    <w:bookmarkStart w:name="z60" w:id="7"/>
    <w:p>
      <w:pPr>
        <w:spacing w:after="0"/>
        <w:ind w:left="0"/>
        <w:jc w:val="left"/>
      </w:pPr>
      <w:r>
        <w:rPr>
          <w:rFonts w:ascii="Times New Roman"/>
          <w:b/>
          <w:i w:val="false"/>
          <w:color w:val="000000"/>
        </w:rPr>
        <w:t xml:space="preserve"> НМИ бойынша бағалау парағы</w:t>
      </w:r>
    </w:p>
    <w:bookmarkEnd w:id="7"/>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8"/>
    <w:p>
      <w:pPr>
        <w:spacing w:after="0"/>
        <w:ind w:left="0"/>
        <w:jc w:val="left"/>
      </w:pPr>
      <w:r>
        <w:rPr>
          <w:rFonts w:ascii="Times New Roman"/>
          <w:b/>
          <w:i w:val="false"/>
          <w:color w:val="000000"/>
        </w:rPr>
        <w:t xml:space="preserve"> Құзыреттер бойынша бағалау парағы</w:t>
      </w:r>
    </w:p>
    <w:bookmarkEnd w:id="8"/>
    <w:p>
      <w:pPr>
        <w:spacing w:after="0"/>
        <w:ind w:left="0"/>
        <w:jc w:val="both"/>
      </w:pPr>
      <w:r>
        <w:rPr>
          <w:rFonts w:ascii="Times New Roman"/>
          <w:b w:val="false"/>
          <w:i w:val="false"/>
          <w:color w:val="000000"/>
          <w:sz w:val="28"/>
        </w:rPr>
        <w:t>
      ______________________________жыл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bookmarkStart w:name="z64" w:id="9"/>
    <w:p>
      <w:pPr>
        <w:spacing w:after="0"/>
        <w:ind w:left="0"/>
        <w:jc w:val="left"/>
      </w:pPr>
      <w:r>
        <w:rPr>
          <w:rFonts w:ascii="Times New Roman"/>
          <w:b/>
          <w:i w:val="false"/>
          <w:color w:val="000000"/>
        </w:rPr>
        <w:t xml:space="preserve"> Құзыреттердің мінез-құлық индикаторлары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Бөлімшенің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Бөлімше жұмысын басымдылығына мән бермей тиімсіз ұйымдастырады.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E-G-2;</w:t>
            </w:r>
          </w:p>
          <w:p>
            <w:pPr>
              <w:spacing w:after="20"/>
              <w:ind w:left="20"/>
              <w:jc w:val="both"/>
            </w:pPr>
            <w:r>
              <w:rPr>
                <w:rFonts w:ascii="Times New Roman"/>
                <w:b w:val="false"/>
                <w:i w:val="false"/>
                <w:color w:val="000000"/>
                <w:sz w:val="20"/>
              </w:rPr>
              <w:t>
E-G-3.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w:t>
            </w:r>
          </w:p>
          <w:p>
            <w:pPr>
              <w:spacing w:after="20"/>
              <w:ind w:left="20"/>
              <w:jc w:val="both"/>
            </w:pPr>
            <w:r>
              <w:rPr>
                <w:rFonts w:ascii="Times New Roman"/>
                <w:b w:val="false"/>
                <w:i w:val="false"/>
                <w:color w:val="000000"/>
                <w:sz w:val="20"/>
              </w:rPr>
              <w:t>
 нәтижеге жетуге қосқан үлесін анықтамайды.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E-G-2;</w:t>
            </w:r>
          </w:p>
          <w:p>
            <w:pPr>
              <w:spacing w:after="20"/>
              <w:ind w:left="20"/>
              <w:jc w:val="both"/>
            </w:pPr>
            <w:r>
              <w:rPr>
                <w:rFonts w:ascii="Times New Roman"/>
                <w:b w:val="false"/>
                <w:i w:val="false"/>
                <w:color w:val="000000"/>
                <w:sz w:val="20"/>
              </w:rPr>
              <w:t>
E-G-3.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дұрыс бөле алады;</w:t>
            </w:r>
          </w:p>
          <w:p>
            <w:pPr>
              <w:spacing w:after="20"/>
              <w:ind w:left="20"/>
              <w:jc w:val="both"/>
            </w:pPr>
            <w:r>
              <w:rPr>
                <w:rFonts w:ascii="Times New Roman"/>
                <w:b w:val="false"/>
                <w:i w:val="false"/>
                <w:color w:val="000000"/>
                <w:sz w:val="20"/>
              </w:rPr>
              <w:t>
Шешім қабылдау барысында мүмкін болатын қауіптер туралы хабарлайды;</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 барысында тек өзінің жеке тәжірибесіне және көзқарасына сенеді.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E-G-2;</w:t>
            </w:r>
          </w:p>
          <w:p>
            <w:pPr>
              <w:spacing w:after="20"/>
              <w:ind w:left="20"/>
              <w:jc w:val="both"/>
            </w:pPr>
            <w:r>
              <w:rPr>
                <w:rFonts w:ascii="Times New Roman"/>
                <w:b w:val="false"/>
                <w:i w:val="false"/>
                <w:color w:val="000000"/>
                <w:sz w:val="20"/>
              </w:rPr>
              <w:t>
E-G-3.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ескеріп, нақты міндеттер қоя алады;</w:t>
            </w:r>
          </w:p>
          <w:p>
            <w:pPr>
              <w:spacing w:after="20"/>
              <w:ind w:left="20"/>
              <w:jc w:val="both"/>
            </w:pPr>
            <w:r>
              <w:rPr>
                <w:rFonts w:ascii="Times New Roman"/>
                <w:b w:val="false"/>
                <w:i w:val="false"/>
                <w:color w:val="000000"/>
                <w:sz w:val="20"/>
              </w:rPr>
              <w:t>
Қызмет көрсетудің тиімді әдістерін біледі;</w:t>
            </w:r>
          </w:p>
          <w:p>
            <w:pPr>
              <w:spacing w:after="20"/>
              <w:ind w:left="20"/>
              <w:jc w:val="both"/>
            </w:pPr>
            <w:r>
              <w:rPr>
                <w:rFonts w:ascii="Times New Roman"/>
                <w:b w:val="false"/>
                <w:i w:val="false"/>
                <w:color w:val="000000"/>
                <w:sz w:val="20"/>
              </w:rPr>
              <w:t>
Көрсетілетін қызметтердің қолжетімділілігін қамтамасыз етеді;</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ескермей, анық емес міндеттер қоя алады;</w:t>
            </w:r>
          </w:p>
          <w:p>
            <w:pPr>
              <w:spacing w:after="20"/>
              <w:ind w:left="20"/>
              <w:jc w:val="both"/>
            </w:pPr>
            <w:r>
              <w:rPr>
                <w:rFonts w:ascii="Times New Roman"/>
                <w:b w:val="false"/>
                <w:i w:val="false"/>
                <w:color w:val="000000"/>
                <w:sz w:val="20"/>
              </w:rPr>
              <w:t>
Қызмет көрсетудің әдістері</w:t>
            </w:r>
          </w:p>
          <w:p>
            <w:pPr>
              <w:spacing w:after="20"/>
              <w:ind w:left="20"/>
              <w:jc w:val="both"/>
            </w:pPr>
            <w:r>
              <w:rPr>
                <w:rFonts w:ascii="Times New Roman"/>
                <w:b w:val="false"/>
                <w:i w:val="false"/>
                <w:color w:val="000000"/>
                <w:sz w:val="20"/>
              </w:rPr>
              <w:t>
 туралы шала-шарпы біледі;</w:t>
            </w:r>
          </w:p>
          <w:p>
            <w:pPr>
              <w:spacing w:after="20"/>
              <w:ind w:left="20"/>
              <w:jc w:val="both"/>
            </w:pPr>
            <w:r>
              <w:rPr>
                <w:rFonts w:ascii="Times New Roman"/>
                <w:b w:val="false"/>
                <w:i w:val="false"/>
                <w:color w:val="000000"/>
                <w:sz w:val="20"/>
              </w:rPr>
              <w:t>
Көрсетілетін қызметтердің қолжетімділілігін қамтамасыз етпейді;</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алдау жүргізбейді және қызмет көрсетуді жетілдірудің жолдарын қарастырмайды.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деңгейін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деңгейін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E-G-2;</w:t>
            </w:r>
          </w:p>
          <w:p>
            <w:pPr>
              <w:spacing w:after="20"/>
              <w:ind w:left="20"/>
              <w:jc w:val="both"/>
            </w:pPr>
            <w:r>
              <w:rPr>
                <w:rFonts w:ascii="Times New Roman"/>
                <w:b w:val="false"/>
                <w:i w:val="false"/>
                <w:color w:val="000000"/>
                <w:sz w:val="20"/>
              </w:rPr>
              <w:t>
E-G-3.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және тілектестікпен қызмет көрсетеді;</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E-G-2;</w:t>
            </w:r>
          </w:p>
          <w:p>
            <w:pPr>
              <w:spacing w:after="20"/>
              <w:ind w:left="20"/>
              <w:jc w:val="both"/>
            </w:pPr>
            <w:r>
              <w:rPr>
                <w:rFonts w:ascii="Times New Roman"/>
                <w:b w:val="false"/>
                <w:i w:val="false"/>
                <w:color w:val="000000"/>
                <w:sz w:val="20"/>
              </w:rPr>
              <w:t>
E-G-3.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xml:space="preserve">
Бөлімшені тиімсіз басқарады және ішкі және сыртқы өзгерістер кезінде нәтижеге қол жеткізбейді; </w:t>
            </w: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E-G-2;</w:t>
            </w:r>
          </w:p>
          <w:p>
            <w:pPr>
              <w:spacing w:after="20"/>
              <w:ind w:left="20"/>
              <w:jc w:val="both"/>
            </w:pPr>
            <w:r>
              <w:rPr>
                <w:rFonts w:ascii="Times New Roman"/>
                <w:b w:val="false"/>
                <w:i w:val="false"/>
                <w:color w:val="000000"/>
                <w:sz w:val="20"/>
              </w:rPr>
              <w:t>
E-G-3.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Өзгеріс жағдайларында өзін-өзі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дамуға ұмтылысын өзінің жеке үлгісінде көрсетеді.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дамуға ұмтылысын өзінің жеке үлгісінде көрсетуге көңіл бөлмейді.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E-G-2;</w:t>
            </w:r>
          </w:p>
          <w:p>
            <w:pPr>
              <w:spacing w:after="20"/>
              <w:ind w:left="20"/>
              <w:jc w:val="both"/>
            </w:pPr>
            <w:r>
              <w:rPr>
                <w:rFonts w:ascii="Times New Roman"/>
                <w:b w:val="false"/>
                <w:i w:val="false"/>
                <w:color w:val="000000"/>
                <w:sz w:val="20"/>
              </w:rPr>
              <w:t>
E-G-3.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етеді;</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етпейді;</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танытпайды;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xml:space="preserve">
Өз мүддесін ұжым мүддесінен жоғары қояды; </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E-G-2;</w:t>
            </w:r>
          </w:p>
          <w:p>
            <w:pPr>
              <w:spacing w:after="20"/>
              <w:ind w:left="20"/>
              <w:jc w:val="both"/>
            </w:pPr>
            <w:r>
              <w:rPr>
                <w:rFonts w:ascii="Times New Roman"/>
                <w:b w:val="false"/>
                <w:i w:val="false"/>
                <w:color w:val="000000"/>
                <w:sz w:val="20"/>
              </w:rPr>
              <w:t>
E-G-3.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E-G-2;</w:t>
            </w:r>
          </w:p>
          <w:p>
            <w:pPr>
              <w:spacing w:after="20"/>
              <w:ind w:left="20"/>
              <w:jc w:val="both"/>
            </w:pPr>
            <w:r>
              <w:rPr>
                <w:rFonts w:ascii="Times New Roman"/>
                <w:b w:val="false"/>
                <w:i w:val="false"/>
                <w:color w:val="000000"/>
                <w:sz w:val="20"/>
              </w:rPr>
              <w:t>
E-G-3.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E-G-2;</w:t>
            </w:r>
          </w:p>
          <w:p>
            <w:pPr>
              <w:spacing w:after="20"/>
              <w:ind w:left="20"/>
              <w:jc w:val="both"/>
            </w:pPr>
            <w:r>
              <w:rPr>
                <w:rFonts w:ascii="Times New Roman"/>
                <w:b w:val="false"/>
                <w:i w:val="false"/>
                <w:color w:val="000000"/>
                <w:sz w:val="20"/>
              </w:rPr>
              <w:t>
E-G-3.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w:t>
            </w:r>
          </w:p>
          <w:p>
            <w:pPr>
              <w:spacing w:after="20"/>
              <w:ind w:left="20"/>
              <w:jc w:val="both"/>
            </w:pPr>
            <w:r>
              <w:rPr>
                <w:rFonts w:ascii="Times New Roman"/>
                <w:b w:val="false"/>
                <w:i w:val="false"/>
                <w:color w:val="000000"/>
                <w:sz w:val="20"/>
              </w:rPr>
              <w:t>
 инновациялық тәсілдер мен шешімдер енгізу жөніндегі ұсыныстарды әзірлемейді және қарастырмайды.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E-G-2;</w:t>
            </w:r>
          </w:p>
          <w:p>
            <w:pPr>
              <w:spacing w:after="20"/>
              <w:ind w:left="20"/>
              <w:jc w:val="both"/>
            </w:pPr>
            <w:r>
              <w:rPr>
                <w:rFonts w:ascii="Times New Roman"/>
                <w:b w:val="false"/>
                <w:i w:val="false"/>
                <w:color w:val="000000"/>
                <w:sz w:val="20"/>
              </w:rPr>
              <w:t>
E-G-3.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w:t>
            </w:r>
            <w:r>
              <w:br/>
            </w:r>
            <w:r>
              <w:rPr>
                <w:rFonts w:ascii="Times New Roman"/>
                <w:b w:val="false"/>
                <w:i w:val="false"/>
                <w:color w:val="000000"/>
                <w:sz w:val="20"/>
              </w:rPr>
              <w:t>қолы _________________</w:t>
            </w:r>
          </w:p>
        </w:tc>
      </w:tr>
    </w:tbl>
    <w:bookmarkStart w:name="z66" w:id="10"/>
    <w:p>
      <w:pPr>
        <w:spacing w:after="0"/>
        <w:ind w:left="0"/>
        <w:jc w:val="left"/>
      </w:pPr>
      <w:r>
        <w:rPr>
          <w:rFonts w:ascii="Times New Roman"/>
          <w:b/>
          <w:i w:val="false"/>
          <w:color w:val="000000"/>
        </w:rPr>
        <w:t xml:space="preserve"> Бағалау жөніндегі комиссия отырысының хаттамасы</w:t>
      </w:r>
    </w:p>
    <w:bookmarkEnd w:id="10"/>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Комиссияның хатшысы: ___________________________ Күні: _____________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төрағасы: ____________________________ Күні: 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мүшесі: _____________________________ Күні: _____________</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