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14dd" w14:textId="c051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Баянауыл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2018 жылғы 16 наурыздағы № 153/25 шешімі. Павлодар облысының Әділет департаментінде 2018 жылғы 3 сәуірде № 5938 болып тіркелді. Күші жойылды - Павлодар облысы Баянауыл аудандық мәслихатының 2018 жылғы 25 маусымдағы № 180/30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25.06.2018 № 180/30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Баянауыл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Алтынбек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16 наурыздағы</w:t>
            </w:r>
            <w:r>
              <w:br/>
            </w:r>
            <w:r>
              <w:rPr>
                <w:rFonts w:ascii="Times New Roman"/>
                <w:b w:val="false"/>
                <w:i w:val="false"/>
                <w:color w:val="000000"/>
                <w:sz w:val="20"/>
              </w:rPr>
              <w:t>№ 153/25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 Баянауыл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Баянауыл ауданы Баянауыл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Баянауыл аудандық мәслихаты (бұдан әрі - аудандық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Баянауыл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Баянауыл ауылдық округ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Баянауыл ауылдық округ әкімін (бұдан әрі - ауылдық округінің әкімі) сайлауды өткізуге аудандық мәслихатына одан әрі ұсыну үшін ауылдық округ әкімінің қызметіне Баянауыл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аудандық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