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79c9e" w14:textId="0279c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Качир ауданы ауылдық округтерінің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мәслихатының 2018 жылғы 20 маусымдағы № 2/29 шешімі. Павлодар облысының Әділет департаментінде 2018 жылғы 16 шілдеде № 6015 болып тіркелді. Күші жойылды - Павлодар облысы Тереңкөл аудандық мәслихатының 2019 жылғы 31 қазандағы № 2/49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Тереңкөл аудандық мәслихатының 31.10.2019 № 2/49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Республикасының 2017 жылғы 11 шілдедегі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Качир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Качир ауданы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әлеуметтік сала және заң мәселелері бойынша аудандық мәслихаттың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халық саны екі мың адам және одан аз ауылдық округтер үшін 2020 жылғы 1 қаңтардан бастап қолданысқа енгізілетін Регламенттің 4-тармағының 1) - 6) тармақшаралын қоспағанда,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Базарбаева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Качир аудандық мәслихатының</w:t>
            </w:r>
            <w:r>
              <w:br/>
            </w:r>
            <w:r>
              <w:rPr>
                <w:rFonts w:ascii="Times New Roman"/>
                <w:b w:val="false"/>
                <w:i w:val="false"/>
                <w:color w:val="000000"/>
                <w:sz w:val="20"/>
              </w:rPr>
              <w:t>2018 жылғы 20 маусымдағы</w:t>
            </w:r>
            <w:r>
              <w:br/>
            </w:r>
            <w:r>
              <w:rPr>
                <w:rFonts w:ascii="Times New Roman"/>
                <w:b w:val="false"/>
                <w:i w:val="false"/>
                <w:color w:val="000000"/>
                <w:sz w:val="20"/>
              </w:rPr>
              <w:t>№ 2/29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Качир ауданы ауылдық округтерінің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Качир ауданы ауылдық округтерінің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w:t>
      </w:r>
      <w:r>
        <w:rPr>
          <w:rFonts w:ascii="Times New Roman"/>
          <w:b w:val="false"/>
          <w:i w:val="false"/>
          <w:color w:val="000000"/>
          <w:sz w:val="28"/>
        </w:rPr>
        <w:t xml:space="preserve"> 3-1-тармағына (бұдан әрі – Заң),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аудан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1)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2)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3) ауылдық округі әкімі аппаратының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4) бюджеттің атқарылуын мониторингілеу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5)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6)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7)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8) ауылдық округінің әкімін сайлауды өткізуге аудан мәслихатына одан әрі ұсыну үшін ауылдық округ әкімінің қызметіне аудан әкімі ұсынған кандидатураларды келісу;</w:t>
      </w:r>
    </w:p>
    <w:p>
      <w:pPr>
        <w:spacing w:after="0"/>
        <w:ind w:left="0"/>
        <w:jc w:val="both"/>
      </w:pPr>
      <w:r>
        <w:rPr>
          <w:rFonts w:ascii="Times New Roman"/>
          <w:b w:val="false"/>
          <w:i w:val="false"/>
          <w:color w:val="000000"/>
          <w:sz w:val="28"/>
        </w:rPr>
        <w:t>
      9) ауылдық округінің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10)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11)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округінің әкiмі дербес немесе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он күнтізбелік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округі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бес күнтізбелік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округі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бірлестіктерінің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негізді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 жиналысының шешімдер</w:t>
      </w:r>
      <w:r>
        <w:br/>
      </w:r>
      <w:r>
        <w:rPr>
          <w:rFonts w:ascii="Times New Roman"/>
          <w:b/>
          <w:i w:val="false"/>
          <w:color w:val="000000"/>
        </w:rPr>
        <w:t>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округінің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Регламентінің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округі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округі әкімінің аппараты ауылдық округі әкімнің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округінің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округі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 шешімдерінің</w:t>
      </w:r>
      <w:r>
        <w:br/>
      </w:r>
      <w:r>
        <w:rPr>
          <w:rFonts w:ascii="Times New Roman"/>
          <w:b/>
          <w:i w:val="false"/>
          <w:color w:val="000000"/>
        </w:rPr>
        <w:t>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