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d3e9" w14:textId="1e5d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Қаратай ауылындағы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Қаратай ауылы әкімінің міндетін атқарушының 2018 жылғы 26 қаңтардағы № 1 шешімі. Павлодар облысының Әділет департаментінде 2018 жылғы 9 ақпанда № 5849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Республикасыңдағы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Успен ауданы Қаратай ауылының тұрғындарының пікірі ескеріле отырып және облыстық ономастика комиссиясының 2017 жылғы 30 мамырдағы және 2017 жылғы 15 тамыздағы қорытындылары негізінде, Қаратай ауылы әкімінің міндетін аткарушы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Успен ауданы Қаратай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 "Азаттық"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"Октябрьская" көшесі "Татулық"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"Полтавская" көшесі "Тәуелсіздік"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"Кузнецкая" көшесі "Бірлік"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 "Ыбырай Алтынсарин"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"Молодежная" көшесі "Бауыржан Момышұлы"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"Центральная" көшесі "Мәншүк Мәметова"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"Молдавская" көшесі "Әлия Молдағұлова"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алғашкы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Қаратай ауылы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Ү. Ивашев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