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922ae" w14:textId="bd92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Жетісу ауданы әкімі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Жетісу ауданы әкімінің 2018 жылғы 14 наурыздағы № 01 шешімі. Алматы қаласы Әділет департаментінде 2018 жылғы 9 сәуірде № 1462 болып тіркелді. Күші жойылды - Алматы қаласы Жетісу ауданы әкімінің 2023 жылғы 9 тамыздағы № 1 шешімімен</w:t>
      </w:r>
    </w:p>
    <w:p>
      <w:pPr>
        <w:spacing w:after="0"/>
        <w:ind w:left="0"/>
        <w:jc w:val="both"/>
      </w:pPr>
      <w:r>
        <w:rPr>
          <w:rFonts w:ascii="Times New Roman"/>
          <w:b w:val="false"/>
          <w:i w:val="false"/>
          <w:color w:val="ff0000"/>
          <w:sz w:val="28"/>
        </w:rPr>
        <w:t xml:space="preserve">
      Ескерту. Күші жойылды - Алматы қаласы Жетісу ауданы әкімінің 09.08.2023 № 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бабының 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Заңынының </w:t>
      </w:r>
      <w:r>
        <w:rPr>
          <w:rFonts w:ascii="Times New Roman"/>
          <w:b w:val="false"/>
          <w:i w:val="false"/>
          <w:color w:val="000000"/>
          <w:sz w:val="28"/>
        </w:rPr>
        <w:t>37 бабына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 152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 Жетісу ауданының әкімі ШЕШТІ:</w:t>
      </w:r>
    </w:p>
    <w:p>
      <w:pPr>
        <w:spacing w:after="0"/>
        <w:ind w:left="0"/>
        <w:jc w:val="both"/>
      </w:pPr>
      <w:r>
        <w:rPr>
          <w:rFonts w:ascii="Times New Roman"/>
          <w:b w:val="false"/>
          <w:i w:val="false"/>
          <w:color w:val="000000"/>
          <w:sz w:val="28"/>
        </w:rPr>
        <w:t>
      1. Қоса беріліп отырған Алматы қаласы Жетісу ауданы әкімі аппаратының "Б" корпусы мемлекеттік әкімшілік қызметшілерінің қызметін бағалаудың Әдістемесі бекітілсін.</w:t>
      </w:r>
    </w:p>
    <w:bookmarkStart w:name="z1" w:id="0"/>
    <w:p>
      <w:pPr>
        <w:spacing w:after="0"/>
        <w:ind w:left="0"/>
        <w:jc w:val="both"/>
      </w:pPr>
      <w:r>
        <w:rPr>
          <w:rFonts w:ascii="Times New Roman"/>
          <w:b w:val="false"/>
          <w:i w:val="false"/>
          <w:color w:val="000000"/>
          <w:sz w:val="28"/>
        </w:rPr>
        <w:t xml:space="preserve">
      2. "Алматы қаласы Жетісу ауданы әкімі аппаратының "Б" корпусы мемлекеттік әкімшілік қызметшілерінің қызметін бағалаудың әдістемесін бекіту туралы" Алматы қаласы Жетісу ауданы әкімінің 2017 жылғы 10 наурыздағы № 03 </w:t>
      </w:r>
      <w:r>
        <w:rPr>
          <w:rFonts w:ascii="Times New Roman"/>
          <w:b w:val="false"/>
          <w:i w:val="false"/>
          <w:color w:val="000000"/>
          <w:sz w:val="28"/>
        </w:rPr>
        <w:t>шешімінің</w:t>
      </w:r>
      <w:r>
        <w:rPr>
          <w:rFonts w:ascii="Times New Roman"/>
          <w:b w:val="false"/>
          <w:i w:val="false"/>
          <w:color w:val="000000"/>
          <w:sz w:val="28"/>
        </w:rPr>
        <w:t xml:space="preserve"> (Алматы қаласы Әділет департаментімен 2017 жылғы 27 наурызында № 1355 тіркелген, 2017 жылғы 06 сәуірдегі № 40 "Алматы ақшамы" басылымында және 2017 жылғы 06 сәуірдегі № 39 "Вечерний Алматы" басылымында жарияланған) күші жойылды деп танылсын.</w:t>
      </w:r>
    </w:p>
    <w:bookmarkEnd w:id="0"/>
    <w:p>
      <w:pPr>
        <w:spacing w:after="0"/>
        <w:ind w:left="0"/>
        <w:jc w:val="both"/>
      </w:pPr>
      <w:r>
        <w:rPr>
          <w:rFonts w:ascii="Times New Roman"/>
          <w:b w:val="false"/>
          <w:i w:val="false"/>
          <w:color w:val="000000"/>
          <w:sz w:val="28"/>
        </w:rPr>
        <w:t>
      3. Алматы қаласы Жетісу ауданы әкімінің аппараты осы шешінің әділет органдарында мемлекеттік тіркелуін, кейіннен ресми мерзімді басылымдарда, сондай-ақ Қазақстан Республикасының нормативтік құқықтық актілерінің Эталондық бақылау банкінде және Жетісу ауданы әкімі аппаратының интернет-ресурсында жариялануын қамтамасыз етсін.</w:t>
      </w:r>
    </w:p>
    <w:p>
      <w:pPr>
        <w:spacing w:after="0"/>
        <w:ind w:left="0"/>
        <w:jc w:val="both"/>
      </w:pPr>
      <w:r>
        <w:rPr>
          <w:rFonts w:ascii="Times New Roman"/>
          <w:b w:val="false"/>
          <w:i w:val="false"/>
          <w:color w:val="000000"/>
          <w:sz w:val="28"/>
        </w:rPr>
        <w:t>
      4. Осы шешімнің орындалуын бақылау Алматы қаласы Жетісу ауданы әкімінің аппарат басшысы В.Д. Вавилинге жүктелсін.</w:t>
      </w:r>
    </w:p>
    <w:p>
      <w:pPr>
        <w:spacing w:after="0"/>
        <w:ind w:left="0"/>
        <w:jc w:val="both"/>
      </w:pPr>
      <w:r>
        <w:rPr>
          <w:rFonts w:ascii="Times New Roman"/>
          <w:b w:val="false"/>
          <w:i w:val="false"/>
          <w:color w:val="000000"/>
          <w:sz w:val="28"/>
        </w:rPr>
        <w:t xml:space="preserve">
      5.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 Жетісу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Тажибаев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w:t>
            </w:r>
            <w:r>
              <w:br/>
            </w:r>
            <w:r>
              <w:rPr>
                <w:rFonts w:ascii="Times New Roman"/>
                <w:b w:val="false"/>
                <w:i w:val="false"/>
                <w:color w:val="000000"/>
                <w:sz w:val="20"/>
              </w:rPr>
              <w:t xml:space="preserve">Жетісу ауданы әкімінің </w:t>
            </w:r>
            <w:r>
              <w:br/>
            </w:r>
            <w:r>
              <w:rPr>
                <w:rFonts w:ascii="Times New Roman"/>
                <w:b w:val="false"/>
                <w:i w:val="false"/>
                <w:color w:val="000000"/>
                <w:sz w:val="20"/>
              </w:rPr>
              <w:t>2018 жылғы 14</w:t>
            </w:r>
            <w:r>
              <w:br/>
            </w:r>
            <w:r>
              <w:rPr>
                <w:rFonts w:ascii="Times New Roman"/>
                <w:b w:val="false"/>
                <w:i w:val="false"/>
                <w:color w:val="000000"/>
                <w:sz w:val="20"/>
              </w:rPr>
              <w:t>наурыздағы</w:t>
            </w:r>
            <w:r>
              <w:br/>
            </w:r>
            <w:r>
              <w:rPr>
                <w:rFonts w:ascii="Times New Roman"/>
                <w:b w:val="false"/>
                <w:i w:val="false"/>
                <w:color w:val="000000"/>
                <w:sz w:val="20"/>
              </w:rPr>
              <w:t>№ 01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Алматы қаласы Жетісу ауданының әкімі аппаратының "Б" корпусы</w:t>
      </w:r>
      <w:r>
        <w:br/>
      </w:r>
      <w:r>
        <w:rPr>
          <w:rFonts w:ascii="Times New Roman"/>
          <w:b/>
          <w:i w:val="false"/>
          <w:color w:val="000000"/>
        </w:rPr>
        <w:t>мемлекеттік әкімшілік қызметшілерінің қызметін бағалаудың әдістемесі 1-тарау. Жалпы ережелер</w:t>
      </w:r>
    </w:p>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33 бабының 5 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(кадр қызметінің) (әрі қарай - персоналды басқару қызметі) жұмыс органы болып табылатын Бағалау жөніндегі комиссия (бұдан әрі - Комиссия) құрылады. </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p>
      <w:pPr>
        <w:spacing w:after="0"/>
        <w:ind w:left="0"/>
        <w:jc w:val="left"/>
      </w:pPr>
      <w:r>
        <w:rPr>
          <w:rFonts w:ascii="Times New Roman"/>
          <w:b/>
          <w:i w:val="false"/>
          <w:color w:val="000000"/>
        </w:rPr>
        <w:t xml:space="preserve"> 2-тарау. НМИ анықтау тәртібі</w:t>
      </w:r>
    </w:p>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p>
      <w:pPr>
        <w:spacing w:after="0"/>
        <w:ind w:left="0"/>
        <w:jc w:val="both"/>
      </w:pPr>
      <w:r>
        <w:rPr>
          <w:rFonts w:ascii="Times New Roman"/>
          <w:b w:val="false"/>
          <w:i w:val="false"/>
          <w:color w:val="000000"/>
          <w:sz w:val="28"/>
        </w:rPr>
        <w:t>
      13.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стратегиялық мақсатын жүзеге асыруға бағытталған болуы тиіс.</w:t>
      </w:r>
    </w:p>
    <w:p>
      <w:pPr>
        <w:spacing w:after="0"/>
        <w:ind w:left="0"/>
        <w:jc w:val="both"/>
      </w:pPr>
      <w:r>
        <w:rPr>
          <w:rFonts w:ascii="Times New Roman"/>
          <w:b w:val="false"/>
          <w:i w:val="false"/>
          <w:color w:val="000000"/>
          <w:sz w:val="28"/>
        </w:rPr>
        <w:t xml:space="preserve">
      14. НМИ саны 5 құрайды. </w:t>
      </w:r>
    </w:p>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p>
      <w:pPr>
        <w:spacing w:after="0"/>
        <w:ind w:left="0"/>
        <w:jc w:val="left"/>
      </w:pPr>
      <w:r>
        <w:rPr>
          <w:rFonts w:ascii="Times New Roman"/>
          <w:b/>
          <w:i w:val="false"/>
          <w:color w:val="000000"/>
        </w:rPr>
        <w:t xml:space="preserve"> 3-тарау. НМИ жетістігін бағалау тәртібі</w:t>
      </w:r>
    </w:p>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нысанда НМИ бойынша бағалау парағын толтырады және оған қол қояды. </w:t>
      </w:r>
    </w:p>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xml:space="preserve">
      2) түзетуге жіберу. </w:t>
      </w:r>
    </w:p>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4-тарау. Құзыреттерді бағалау тәртібі</w:t>
      </w:r>
    </w:p>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5-тарау. Бағалау нәтижелерін Комиссиямен қарау және бағалау</w:t>
      </w:r>
      <w:r>
        <w:br/>
      </w:r>
      <w:r>
        <w:rPr>
          <w:rFonts w:ascii="Times New Roman"/>
          <w:b/>
          <w:i w:val="false"/>
          <w:color w:val="000000"/>
        </w:rPr>
        <w:t>нәтижесіне шағымдану</w:t>
      </w:r>
    </w:p>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шешімге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32. Комиссияның шешімі ашық дауыс беру арқылы қабылданады.</w:t>
      </w:r>
    </w:p>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Жетісу ауданының</w:t>
            </w:r>
            <w:r>
              <w:br/>
            </w:r>
            <w:r>
              <w:rPr>
                <w:rFonts w:ascii="Times New Roman"/>
                <w:b w:val="false"/>
                <w:i w:val="false"/>
                <w:color w:val="000000"/>
                <w:sz w:val="20"/>
              </w:rPr>
              <w:t>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Алматы қаласы Жетісу ауданының әкімі аппаратының "Б" корпусы</w:t>
      </w:r>
      <w:r>
        <w:br/>
      </w:r>
      <w:r>
        <w:rPr>
          <w:rFonts w:ascii="Times New Roman"/>
          <w:b/>
          <w:i w:val="false"/>
          <w:color w:val="000000"/>
        </w:rPr>
        <w:t>мемлекеттік әкімшілік қызметшісінің 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Жетісу ауданының</w:t>
            </w:r>
            <w:r>
              <w:br/>
            </w:r>
            <w:r>
              <w:rPr>
                <w:rFonts w:ascii="Times New Roman"/>
                <w:b w:val="false"/>
                <w:i w:val="false"/>
                <w:color w:val="000000"/>
                <w:sz w:val="20"/>
              </w:rPr>
              <w:t>әкімі аппаратының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w:t>
      </w:r>
      <w:r>
        <w:br/>
      </w:r>
      <w:r>
        <w:rPr>
          <w:rFonts w:ascii="Times New Roman"/>
          <w:b/>
          <w:i w:val="false"/>
          <w:color w:val="000000"/>
        </w:rPr>
        <w:t>(Т.А.Ә., 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нәтижесі</w:t>
      </w: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Жетісу ауданының</w:t>
            </w:r>
            <w:r>
              <w:br/>
            </w:r>
            <w:r>
              <w:rPr>
                <w:rFonts w:ascii="Times New Roman"/>
                <w:b w:val="false"/>
                <w:i w:val="false"/>
                <w:color w:val="000000"/>
                <w:sz w:val="20"/>
              </w:rPr>
              <w:t>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 _________________ жыл</w:t>
      </w:r>
      <w:r>
        <w:br/>
      </w:r>
      <w:r>
        <w:rPr>
          <w:rFonts w:ascii="Times New Roman"/>
          <w:b/>
          <w:i w:val="false"/>
          <w:color w:val="000000"/>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 ______________</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Жетісу ауданының</w:t>
            </w:r>
            <w:r>
              <w:br/>
            </w:r>
            <w:r>
              <w:rPr>
                <w:rFonts w:ascii="Times New Roman"/>
                <w:b w:val="false"/>
                <w:i w:val="false"/>
                <w:color w:val="000000"/>
                <w:sz w:val="20"/>
              </w:rPr>
              <w:t>әкімі аппаратының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Жетісу ауданының</w:t>
            </w:r>
            <w:r>
              <w:br/>
            </w:r>
            <w:r>
              <w:rPr>
                <w:rFonts w:ascii="Times New Roman"/>
                <w:b w:val="false"/>
                <w:i w:val="false"/>
                <w:color w:val="000000"/>
                <w:sz w:val="20"/>
              </w:rPr>
              <w:t>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w:t>
      </w:r>
      <w:r>
        <w:br/>
      </w:r>
      <w:r>
        <w:rPr>
          <w:rFonts w:ascii="Times New Roman"/>
          <w:b/>
          <w:i w:val="false"/>
          <w:color w:val="000000"/>
        </w:rPr>
        <w:t>(бағалау мерзімі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xml:space="preserve">
      Комиссияның хатшысы: ______________________________ Күні: _____________ </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төрағасы: ________________________________ Күні: 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мүшесі: _________________________________ Күні: _____________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