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b38dc" w14:textId="18b3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2019-2021 жылдарға арналған Ғабит Мүсірепов атындағы ауданы Дружба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2018 жылғы 29 желтоқсандағы № 39-2 шешімі. Солтүстік Қазақстан облысының Әділет департаментінде 2019 жылғы 9 қаңтарда № 5174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2019-2021 жылдарға арналған Дружба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2019 жылға келесі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14 297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7 476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6 821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16 237,9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- 1 940,9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1 940,9 мың теңге: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1 940,9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000000"/>
          <w:sz w:val="28"/>
        </w:rPr>
        <w:t>№ 48-28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– Солтүстік Қазақстан облысы Ғабит Мүсірепов атындағы ауданы мəслихатының 19.11.2019 </w:t>
      </w:r>
      <w:r>
        <w:rPr>
          <w:rFonts w:ascii="Times New Roman"/>
          <w:b w:val="false"/>
          <w:i w:val="false"/>
          <w:color w:val="00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2008 жылғы 4 желтоқсандағы Бюджеттік кодексіне сәйкес, 2019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салыққа;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салығына;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бюджетке берілетін субвенциялар көлемі 5 629 мың теңге құрайды.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2019 жылғы 1 қаңтардан бастап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төрайымы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Әбуова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ауданы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29 желтоқсандағы № 39-2 шешіміне 1-қосымша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Дружба ауылдық округінің бюджеті 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24.05.2019 </w:t>
      </w:r>
      <w:r>
        <w:rPr>
          <w:rFonts w:ascii="Times New Roman"/>
          <w:b w:val="false"/>
          <w:i w:val="false"/>
          <w:color w:val="ff0000"/>
          <w:sz w:val="28"/>
        </w:rPr>
        <w:t>№ 48-28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енгізіледі); жаңа редакцияда - Солтүстік Қазақстан облысы Ғабит Мүсірепов атындағы ауданы мəслихатының 19.11.2019 </w:t>
      </w:r>
      <w:r>
        <w:rPr>
          <w:rFonts w:ascii="Times New Roman"/>
          <w:b w:val="false"/>
          <w:i w:val="false"/>
          <w:color w:val="ff0000"/>
          <w:sz w:val="28"/>
        </w:rPr>
        <w:t>№ 53-3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(01.01.2019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1322"/>
        <w:gridCol w:w="1322"/>
        <w:gridCol w:w="5912"/>
        <w:gridCol w:w="2771"/>
      </w:tblGrid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9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14 297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6 821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16 237,9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13 069,9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11 269,9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___желтоқсандағы № ___ шешіміне 2-қосымша</w:t>
            </w:r>
          </w:p>
        </w:tc>
      </w:tr>
    </w:tbl>
    <w:bookmarkStart w:name="z4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Дружба ауылдық округінің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</w:tbl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2018 жылғы ___желтоқсандағы № ___ шешіміне 3-қосымша</w:t>
            </w:r>
          </w:p>
        </w:tc>
      </w:tr>
    </w:tbl>
    <w:bookmarkStart w:name="z44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Ғабит Мүсірепов атындағы ауданы Дружба ауылдық округінің бюджеті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3 897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5 214</w:t>
            </w:r>
          </w:p>
        </w:tc>
      </w:tr>
    </w:tbl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