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4d17" w14:textId="6c44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Гайдуково ауылындағы көшелердің атауын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Налобино ауылдық округ әкімінің 2018 жылғы 4 сәуірдегі № 6 шешімі. Солтүстік Қазақстан облысының Әділет департаментінде 2018 жылғы 19 сәуірде № 4669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мемлекеттік басқару және өзін – 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-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2017 жылғы 11 қазандағы қорытындысы негізінде және Солтүстік Қазақстан облысы Қызылжар ауданы Гайдуково ауылы халқының пікірін ескере отырып, Налобино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Гайдуково ауылының көшелерінің атаулары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көшені - Бейбітшілік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көшені - Степная көшесіне.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Малкова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