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bcef" w14:textId="4d9b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2018 жылғы 20 наурыздағы № 21/250-VI шешiмi. Оңтүстiк Қазақстан облысының Әдiлет департаментiнде 2018 жылғы 10 сәуірде № 4512 болып тiркелдi. Күші жойылды -Түркістан облыстық мәслихатының 2023 жылғы 28 сәуірдегі № 2/20-VIII шешімімен</w:t>
      </w:r>
    </w:p>
    <w:p>
      <w:pPr>
        <w:spacing w:after="0"/>
        <w:ind w:left="0"/>
        <w:jc w:val="both"/>
      </w:pPr>
      <w:bookmarkStart w:name="z1" w:id="0"/>
      <w:r>
        <w:rPr>
          <w:rFonts w:ascii="Times New Roman"/>
          <w:b w:val="false"/>
          <w:i w:val="false"/>
          <w:color w:val="ff0000"/>
          <w:sz w:val="28"/>
        </w:rPr>
        <w:t xml:space="preserve">
      Ескерту. Күші жойылды -Түркістан облыстық мәслихатының 28.04.2023 № 2/20-VIII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Шешімнің атауы жаңа редакцияда - Түркістан облыстық мәслихатының 12.12.2018 </w:t>
      </w:r>
      <w:r>
        <w:rPr>
          <w:rFonts w:ascii="Times New Roman"/>
          <w:b w:val="false"/>
          <w:i w:val="false"/>
          <w:color w:val="000000"/>
          <w:sz w:val="28"/>
        </w:rPr>
        <w:t>№ 33/360-VI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Оңтүстік Қазақстан облыстық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Түркістан облыстық мәслихат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12.12.2018 </w:t>
      </w:r>
      <w:r>
        <w:rPr>
          <w:rFonts w:ascii="Times New Roman"/>
          <w:b w:val="false"/>
          <w:i w:val="false"/>
          <w:color w:val="00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Оңтүстік Қазақстан облыстық мәслихатының 2017 жылғы 30 наурыздағы № 11/130-VI "Оңтүстік Қазақстан облыстық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4094 болып тіркелген, 2017 жылғы 13 мамырда "Оңтүстік Қазақстан" газетінде және 2017 жылғы 22 мамырда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Д.Абіш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наурыздағы № 21/250-VI</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Түркістан облыстық мәслихат аппаратының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Әістеменің атауы жаңа редакцияда - Түркістан облыстық мәслихатының 12.12.2018 </w:t>
      </w:r>
      <w:r>
        <w:rPr>
          <w:rFonts w:ascii="Times New Roman"/>
          <w:b w:val="false"/>
          <w:i w:val="false"/>
          <w:color w:val="ff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облыстық мәслихат аппаратының "Б" корпусы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Түркістан облыстық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12.12.2018 </w:t>
      </w:r>
      <w:r>
        <w:rPr>
          <w:rFonts w:ascii="Times New Roman"/>
          <w:b w:val="false"/>
          <w:i w:val="false"/>
          <w:color w:val="00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Түркістан облыстық мәслихаты хатшысымен Бағалау жөніндегі комиссия (бұдан әрі - Комиссия) құрылады, Комиссия жұмысы персоналмен жұмыс лауазымдық міндетіне кіретін Түркістан облыстық мәслихат аппаратының қызметкерімен (бұдан әрі – персоналды басқару қызметіне жауапты маман) қамтамасыз етіледі.</w:t>
      </w:r>
    </w:p>
    <w:bookmarkEnd w:id="10"/>
    <w:p>
      <w:pPr>
        <w:spacing w:after="0"/>
        <w:ind w:left="0"/>
        <w:jc w:val="both"/>
      </w:pPr>
      <w:r>
        <w:rPr>
          <w:rFonts w:ascii="Times New Roman"/>
          <w:b w:val="false"/>
          <w:i w:val="false"/>
          <w:color w:val="000000"/>
          <w:sz w:val="28"/>
        </w:rPr>
        <w:t>
      Комиссия құрамы Түркістан облыстық мәслихатының хатшысымен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облыстық мәслихатының 12.12.2018 </w:t>
      </w:r>
      <w:r>
        <w:rPr>
          <w:rFonts w:ascii="Times New Roman"/>
          <w:b w:val="false"/>
          <w:i w:val="false"/>
          <w:color w:val="00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қызметінде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Түркістан облыстық мәслихат аппаратының басшысын бағалау парағы Түркістан облыстық мәслихатының хатшысына енгізіледі.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облыстық мәслихатының 12.12.2018 </w:t>
      </w:r>
      <w:r>
        <w:rPr>
          <w:rFonts w:ascii="Times New Roman"/>
          <w:b w:val="false"/>
          <w:i w:val="false"/>
          <w:color w:val="00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 төрағасын не мүшесін алмастыру Түркістан облыстық мәслихаты хатшысының Комиссия құру туралы өкіміне өзгерістер енгізу арқылы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Түркістан облыстық мәслихатының 12.12.2018 </w:t>
      </w:r>
      <w:r>
        <w:rPr>
          <w:rFonts w:ascii="Times New Roman"/>
          <w:b w:val="false"/>
          <w:i w:val="false"/>
          <w:color w:val="00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қызметіне жауапты маман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 және мемлекеттік органның басқа екі қызметшісімен қол қойылған акт толтырылады.</w:t>
      </w:r>
    </w:p>
    <w:bookmarkEnd w:id="49"/>
    <w:bookmarkStart w:name="z52" w:id="50"/>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маманмен "Б" корпусы қызметшісінің бағалау нәтижесі мемлекеттік органдардың интранет-порталы арқылы жолданады.</w:t>
      </w:r>
    </w:p>
    <w:bookmarkEnd w:id="50"/>
    <w:bookmarkStart w:name="z53"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Түркістан облыстық мәслихат аппаратының "Б" корпусы мемлекеттік әкімшілік қызметшісінің жеке жұмыс жоспары</w:t>
      </w:r>
    </w:p>
    <w:p>
      <w:pPr>
        <w:spacing w:after="0"/>
        <w:ind w:left="0"/>
        <w:jc w:val="both"/>
      </w:pPr>
      <w:r>
        <w:rPr>
          <w:rFonts w:ascii="Times New Roman"/>
          <w:b w:val="false"/>
          <w:i w:val="false"/>
          <w:color w:val="ff0000"/>
          <w:sz w:val="28"/>
        </w:rPr>
        <w:t xml:space="preserve">
      Ескерту. 1 қосымшаның атауы жаңа редакцияда - Түркістан облыстық мәслихатының 12.12.2018 </w:t>
      </w:r>
      <w:r>
        <w:rPr>
          <w:rFonts w:ascii="Times New Roman"/>
          <w:b w:val="false"/>
          <w:i w:val="false"/>
          <w:color w:val="ff0000"/>
          <w:sz w:val="28"/>
        </w:rPr>
        <w:t>№ 33/360-VI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Қызметшінің лауазымы: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w:t>
            </w:r>
          </w:p>
          <w:p>
            <w:pPr>
              <w:spacing w:after="20"/>
              <w:ind w:left="20"/>
              <w:jc w:val="both"/>
            </w:pPr>
            <w:r>
              <w:rPr>
                <w:rFonts w:ascii="Times New Roman"/>
                <w:b w:val="false"/>
                <w:i w:val="false"/>
                <w:color w:val="000000"/>
                <w:sz w:val="20"/>
              </w:rPr>
              <w:t>(тегi, аты-жөнiнің бірінші әріптері)</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басшы</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w:t>
            </w:r>
          </w:p>
          <w:p>
            <w:pPr>
              <w:spacing w:after="20"/>
              <w:ind w:left="20"/>
              <w:jc w:val="both"/>
            </w:pPr>
            <w:r>
              <w:rPr>
                <w:rFonts w:ascii="Times New Roman"/>
                <w:b w:val="false"/>
                <w:i w:val="false"/>
                <w:color w:val="000000"/>
                <w:sz w:val="20"/>
              </w:rPr>
              <w:t>(тегi, аты-жөнiнің бірінші әріптері)</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басшы</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w:t>
            </w:r>
          </w:p>
          <w:p>
            <w:pPr>
              <w:spacing w:after="20"/>
              <w:ind w:left="20"/>
              <w:jc w:val="both"/>
            </w:pPr>
            <w:r>
              <w:rPr>
                <w:rFonts w:ascii="Times New Roman"/>
                <w:b w:val="false"/>
                <w:i w:val="false"/>
                <w:color w:val="000000"/>
                <w:sz w:val="20"/>
              </w:rPr>
              <w:t>(тегi, аты-жөнiнің бірінші әріптері)</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басшы</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альтернативті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Тиімді және жүйелі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пікірін негіздей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Комиссияның хатшысы: _______________________ Күнi: _____________</w:t>
      </w:r>
      <w:r>
        <w:br/>
      </w:r>
      <w:r>
        <w:rPr>
          <w:rFonts w:ascii="Times New Roman"/>
          <w:b w:val="false"/>
          <w:i w:val="false"/>
          <w:color w:val="000000"/>
          <w:sz w:val="28"/>
        </w:rPr>
        <w:t>(тегi, аты-жөні, қолы)</w:t>
      </w:r>
      <w:r>
        <w:br/>
      </w:r>
      <w:r>
        <w:rPr>
          <w:rFonts w:ascii="Times New Roman"/>
          <w:b w:val="false"/>
          <w:i w:val="false"/>
          <w:color w:val="000000"/>
          <w:sz w:val="28"/>
        </w:rPr>
        <w:t>Комиссияның төрағасы: _____________________ Күнi: _______________</w:t>
      </w:r>
      <w:r>
        <w:br/>
      </w:r>
      <w:r>
        <w:rPr>
          <w:rFonts w:ascii="Times New Roman"/>
          <w:b w:val="false"/>
          <w:i w:val="false"/>
          <w:color w:val="000000"/>
          <w:sz w:val="28"/>
        </w:rPr>
        <w:t>(тегi, аты-жөні, қолы)</w:t>
      </w:r>
      <w:r>
        <w:br/>
      </w:r>
      <w:r>
        <w:rPr>
          <w:rFonts w:ascii="Times New Roman"/>
          <w:b w:val="false"/>
          <w:i w:val="false"/>
          <w:color w:val="000000"/>
          <w:sz w:val="28"/>
        </w:rPr>
        <w:t>Комиссияның мүшесi: _________________________ Күнi: _____________</w:t>
      </w:r>
      <w:r>
        <w:br/>
      </w:r>
      <w:r>
        <w:rPr>
          <w:rFonts w:ascii="Times New Roman"/>
          <w:b w:val="false"/>
          <w:i w:val="false"/>
          <w:color w:val="000000"/>
          <w:sz w:val="28"/>
        </w:rPr>
        <w:t>(тегi,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header.xml" Type="http://schemas.openxmlformats.org/officeDocument/2006/relationships/header" Id="rId19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