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8332" w14:textId="6518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өнімділігін және өнім сапасын арттыруды субсидиялау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2018 жылғы 20 шілдедегі № 210 қаулысы. Түркістан облысының Әдiлет департаментiнде 2018 жылғы 26 шілдеде № 4700 болып тiркелдi. Күші жойылды - Түркістан облысы әкiмдiгiнiң 2019 жылғы 2 мамырдағы № 73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02.05.2019 № 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9 маусымдағы № 237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15452 нөмірімен тіркелген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Акваөсіру (балық өсіру шаруашылығы) өнімділігін және өнім сапасын арттыруды субсидиялау көлемдері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Түркістан облысының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 күннен кейін оны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Е.Қ. Тасжүрековке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20 шілдедегі № 210</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Акваөсіру (балық өсіру шаруашылығы) өнімділігін және өнім сапасын арттыруды субсидиялау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928"/>
        <w:gridCol w:w="2692"/>
        <w:gridCol w:w="3636"/>
        <w:gridCol w:w="1536"/>
        <w:gridCol w:w="2912"/>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 өнімінің түрі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өсіру көлемі (тонна)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Акваөсірудің (балық өсіру шаруашылығы) 1 (бір) килограмм өнімін өндіруге жұмсалатын азық мөлшері, килограмм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1 кг (тенге)</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 (мың теңге)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 және оның буданы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