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e70b" w14:textId="08de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түзету туралы</w:t>
      </w:r>
    </w:p>
    <w:p>
      <w:pPr>
        <w:spacing w:after="0"/>
        <w:ind w:left="0"/>
        <w:jc w:val="both"/>
      </w:pPr>
      <w:r>
        <w:rPr>
          <w:rFonts w:ascii="Times New Roman"/>
          <w:b w:val="false"/>
          <w:i w:val="false"/>
          <w:color w:val="000000"/>
          <w:sz w:val="28"/>
        </w:rPr>
        <w:t>Түркістан облысы Түркiстан қалалық мәслихатының 2018 жылғы 19 қарашадағы № 40/203-VI шешiмi. Түркістан облысының Әдiлет департаментiнде 2018 жылғы 23 қарашада № 4802 болып тiркелдi</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510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2012 жылғы 20 желтоқсандағы № 10/61-V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 мемлекеттік тіркеу тізілімінде № 2176 нөмірімен тіркелген) Түркістан қаласының жерлерін аймақтарға бөлу схемасы негізінде,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 баптарында</w:t>
      </w:r>
      <w:r>
        <w:rPr>
          <w:rFonts w:ascii="Times New Roman"/>
          <w:b w:val="false"/>
          <w:i w:val="false"/>
          <w:color w:val="000000"/>
          <w:sz w:val="28"/>
        </w:rPr>
        <w:t xml:space="preserve"> белгiленген жер салығының базалық мөлшерлемелері 1, 2, 3, 4, 5, 6 аймақтарда автотұрақтарға (паркингтерге), автомобильге май құю станцияларына бөлінген (бөліп шығарылған) жерлерді қоспағанда 50 (елу) пайызға жоғарылатылсын.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Түркістан облысы Түркістан қалалық мәслихатының 30.03.2021 </w:t>
      </w:r>
      <w:r>
        <w:rPr>
          <w:rFonts w:ascii="Times New Roman"/>
          <w:b w:val="false"/>
          <w:i w:val="false"/>
          <w:color w:val="000000"/>
          <w:sz w:val="28"/>
        </w:rPr>
        <w:t>№ 5/26-VII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Х.Азимов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