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9a42" w14:textId="3fc9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2018 жылғы 23 сәуірдегі № 143 қаулысы. Оңтүстiк Қазақстан облысының Әдiлет департаментiнде 2018 жылғы 10 мамырда № 4593 болып тiркелдi. Күші жойылды - Түркістан облысы Бәйдiбек ауданы әкiмдiгiнiң 2022 жылғы 29 маусымдағы № 288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Түркістан облысы Бәйдiбек ауданы әкiмдiгiнiң 29.06.2022 № 288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Бәйдібек ауданы әкімдігінің 2017 жылғы 31 наурыздағы № 53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4046 тіркелген, 2017 жылы 28 сәуірдегі "Шаян" газетінде және 2017 жылы 05 мамырында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Ә.Ысқаққа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23 наурыздағы № 143</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 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