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c080" w14:textId="76fc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Жетiсай ауданы әкiмдiгiнiң 2018 жылғы 27 желтоқсандағы № 670 қаулысы. Түркістан облысының Әдiлет департаментiнде 2018 жылғы 28 желтоқсанда № 4864 болып тiркелдi. Күші жойылды - Түркістан облысы Жетісай ауданы әкiмдiгiнiң 2023 жылғы 30 маусымдағы № 533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әкiмдiгiнiң 30.06.2023 № 533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Жетісай ауданы әкімдігі ҚАУЛЫ ЕТЕДІ:</w:t>
      </w:r>
    </w:p>
    <w:bookmarkStart w:name="z2" w:id="1"/>
    <w:p>
      <w:pPr>
        <w:spacing w:after="0"/>
        <w:ind w:left="0"/>
        <w:jc w:val="both"/>
      </w:pPr>
      <w:r>
        <w:rPr>
          <w:rFonts w:ascii="Times New Roman"/>
          <w:b w:val="false"/>
          <w:i w:val="false"/>
          <w:color w:val="000000"/>
          <w:sz w:val="28"/>
        </w:rPr>
        <w:t xml:space="preserve">
      1. Жетісай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"Жетісай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Б.Райымбековке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670 қаулысымен бекітілген</w:t>
            </w:r>
          </w:p>
        </w:tc>
      </w:tr>
    </w:tbl>
    <w:bookmarkStart w:name="z7" w:id="5"/>
    <w:p>
      <w:pPr>
        <w:spacing w:after="0"/>
        <w:ind w:left="0"/>
        <w:jc w:val="left"/>
      </w:pPr>
      <w:r>
        <w:rPr>
          <w:rFonts w:ascii="Times New Roman"/>
          <w:b/>
          <w:i w:val="false"/>
          <w:color w:val="000000"/>
        </w:rPr>
        <w:t xml:space="preserve"> Жетісай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Жетісай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Жетісай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(бұдан әрі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6"/>
    <w:bookmarkStart w:name="z19" w:id="1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17"/>
    <w:bookmarkStart w:name="z20" w:id="1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3" w:id="21"/>
    <w:p>
      <w:pPr>
        <w:spacing w:after="0"/>
        <w:ind w:left="0"/>
        <w:jc w:val="both"/>
      </w:pPr>
      <w:r>
        <w:rPr>
          <w:rFonts w:ascii="Times New Roman"/>
          <w:b w:val="false"/>
          <w:i w:val="false"/>
          <w:color w:val="000000"/>
          <w:sz w:val="28"/>
        </w:rPr>
        <w:t xml:space="preserve">
      14. НМИ саны 5 құрайды. </w:t>
      </w:r>
    </w:p>
    <w:bookmarkEnd w:id="21"/>
    <w:bookmarkStart w:name="z24" w:id="22"/>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Тиімді және жүйелі шешім қабылдайды;</w:t>
            </w: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Қызмет көрсетудің тиімді әдістерін біледі;</w:t>
            </w:r>
          </w:p>
          <w:p>
            <w:pPr>
              <w:spacing w:after="20"/>
              <w:ind w:left="20"/>
              <w:jc w:val="both"/>
            </w:pPr>
            <w:r>
              <w:rPr>
                <w:rFonts w:ascii="Times New Roman"/>
                <w:b w:val="false"/>
                <w:i w:val="false"/>
                <w:color w:val="000000"/>
                <w:sz w:val="20"/>
              </w:rPr>
              <w:t>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Қызмет көрсетудің әдістері туралы шала-шарпы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xml:space="preserve"> Риясыздық, әділдік,</w:t>
            </w:r>
          </w:p>
          <w:p>
            <w:pPr>
              <w:spacing w:after="20"/>
              <w:ind w:left="20"/>
              <w:jc w:val="both"/>
            </w:pPr>
            <w:r>
              <w:rPr>
                <w:rFonts w:ascii="Times New Roman"/>
                <w:b w:val="false"/>
                <w:i w:val="false"/>
                <w:color w:val="000000"/>
                <w:sz w:val="20"/>
              </w:rPr>
              <w:t>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w:t>
            </w:r>
            <w:r>
              <w:br/>
            </w:r>
            <w:r>
              <w:rPr>
                <w:rFonts w:ascii="Times New Roman"/>
                <w:b w:val="false"/>
                <w:i w:val="false"/>
                <w:color w:val="000000"/>
                <w:sz w:val="20"/>
              </w:rPr>
              <w:t>қолы___________________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Комиссияның төрағасы: ____________________________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