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b7d4" w14:textId="a38b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ндағы А.А.Тұмарбаевқа берілетін жер учаскесінің тұсындағы бастаудың су ағысының және Безымяный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0 шілдедегі № 223 қаулысы. Шығыс Қазақстан облысының Әділет департаментінде 2018 жылғы 2 тамызда № 56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атонқарағай ауданындағы А.А. Тұмарбаевқа берілетін жер учаскесінің тұсындағы бастаудың су ағысының және Безымяный бұлағыны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ндағы А.А. Тұмарбаевқа берілетін жер учаскесінің тұсындағы бастаудың су ағысының және Безымяный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11"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12" шіл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23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Катонқарағай ауданындағы А.А. Тұмарбаевқа берілетін жер учаскесінің тұсындағы бастаудың су ағысының және Безымяный бұлағының су қорғау аймақтары мен су қорғау белдеу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177"/>
        <w:gridCol w:w="1670"/>
        <w:gridCol w:w="1924"/>
        <w:gridCol w:w="2177"/>
        <w:gridCol w:w="2178"/>
        <w:gridCol w:w="1417"/>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езымяный бұла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Баста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