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61ce" w14:textId="c6e6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24 желтоқсандағы № 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2018 жылғы 22 маусымдағы № 19-2 шешімі. Батыс Қазақстан облысының Әділет департаментінде 2018 жылғы 27 маусымда № 5260 болып тіркелді. Күші жойылды - Батыс Қазақстан облысы Қаратөбе аудандық мәслихатының 2020 жылғы 10 сәуірдегі № 41-2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2013 жылғы 24 желтоқсандағы № 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3416 тіркелген, "Әділет" ақпараттық-құқықтық жүйесінде 2014 жылы 4 ақпанда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Қаратөбе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 тармақшамен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бас бостандығынан айыру орындарынан босатылған адамдарға бейімделу үшін табыстарын есепке алмай 10 АЕК мөлшерінде көрсетіледі.";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баған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баған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Ұлы Отан соғысының қатысушылары мен мүгедектері – 300 000".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мәслихатының аппарат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Ғ.Мырзағали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Б.Қонысбаева_________________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 жылғы 25 маусым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 – айлық есептік көрсеткіш.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