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71018" w14:textId="9671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облыстық маңызы бар қалалардың даму стратегияларын әзірлеу жөніндегі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11 қаңтардағы № 3 бұйрығы. Қазақстан Республикасының Әділет министрлігінде 2019 жылғы 14 қаңтарда № 18174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24 қыркүйектегі № 1011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Ұлттық экономика министрлігі туралы ереженің 15-тармағының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29.04.2022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Республикалық және облыстық маңызы бар қалалардың даму стратегияларын әзірлеу жөніндегі әдістеме бекітілсін.</w:t>
      </w:r>
    </w:p>
    <w:bookmarkEnd w:id="1"/>
    <w:bookmarkStart w:name="z3" w:id="2"/>
    <w:p>
      <w:pPr>
        <w:spacing w:after="0"/>
        <w:ind w:left="0"/>
        <w:jc w:val="both"/>
      </w:pPr>
      <w:r>
        <w:rPr>
          <w:rFonts w:ascii="Times New Roman"/>
          <w:b w:val="false"/>
          <w:i w:val="false"/>
          <w:color w:val="000000"/>
          <w:sz w:val="28"/>
        </w:rPr>
        <w:t>
      2. Өңірлік даму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көшірмесін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Республикалық және облыстық маңызы бар қалалардың даму стратегияларын әзірлеу жөніндегі әдістеме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Республикалық және облыстық маңызы бар қалалардың даму стратегияларын әзірлеу жөніндегі әдістеме (бұдан әрі – Әдістеме)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 және республикалық және облыстық маңызы бар қалалардың даму стратегияларын әзірлеу жөніндегі тәсілдерді ашып көрсетеді.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29.04.2022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Республикалық немесе облыстық маңызы бар қаланың даму стратегиясын әзірлеу пайымды модельдеу, қалыптастыру және басымдықтарды, мақсаттарды, нысаналы индикаторларды, міндеттерді және оларға қол жеткізу жолдарын айқындау мақсатында жүзеге асырылады.</w:t>
      </w:r>
    </w:p>
    <w:bookmarkEnd w:id="12"/>
    <w:bookmarkStart w:name="z15" w:id="13"/>
    <w:p>
      <w:pPr>
        <w:spacing w:after="0"/>
        <w:ind w:left="0"/>
        <w:jc w:val="both"/>
      </w:pPr>
      <w:r>
        <w:rPr>
          <w:rFonts w:ascii="Times New Roman"/>
          <w:b w:val="false"/>
          <w:i w:val="false"/>
          <w:color w:val="000000"/>
          <w:sz w:val="28"/>
        </w:rPr>
        <w:t>
      3. Осы Әдістемеде мынадай негізгі ұғымдар пайдаланылады:</w:t>
      </w:r>
    </w:p>
    <w:bookmarkEnd w:id="13"/>
    <w:p>
      <w:pPr>
        <w:spacing w:after="0"/>
        <w:ind w:left="0"/>
        <w:jc w:val="both"/>
      </w:pPr>
      <w:r>
        <w:rPr>
          <w:rFonts w:ascii="Times New Roman"/>
          <w:b w:val="false"/>
          <w:i w:val="false"/>
          <w:color w:val="000000"/>
          <w:sz w:val="28"/>
        </w:rPr>
        <w:t>
      1) республикалық немесе облыстық маңызы бар қаланың даму стратегиясы (бұдан әрі – стратегия) – қала халқының 2050 жылға дейінгі перспективалы санын ескере отырып, республикалық маңызы бар қаланың, облыс орталығының, сондай-ақ Семей қаласының (бұдан әрі – қала) даму стратегиясы;</w:t>
      </w:r>
    </w:p>
    <w:p>
      <w:pPr>
        <w:spacing w:after="0"/>
        <w:ind w:left="0"/>
        <w:jc w:val="both"/>
      </w:pPr>
      <w:r>
        <w:rPr>
          <w:rFonts w:ascii="Times New Roman"/>
          <w:b w:val="false"/>
          <w:i w:val="false"/>
          <w:color w:val="000000"/>
          <w:sz w:val="28"/>
        </w:rPr>
        <w:t>
      2) стратегияның игілік алушылары - тиісті қаланың және оған іргелес басқа елді мекендердің немесе функционалдық қалалық ауданның тұрғындары.</w:t>
      </w:r>
    </w:p>
    <w:bookmarkStart w:name="z16" w:id="14"/>
    <w:p>
      <w:pPr>
        <w:spacing w:after="0"/>
        <w:ind w:left="0"/>
        <w:jc w:val="left"/>
      </w:pPr>
      <w:r>
        <w:rPr>
          <w:rFonts w:ascii="Times New Roman"/>
          <w:b/>
          <w:i w:val="false"/>
          <w:color w:val="000000"/>
        </w:rPr>
        <w:t xml:space="preserve"> 2-тарау. Стратегияны әзірлеу</w:t>
      </w:r>
    </w:p>
    <w:bookmarkEnd w:id="14"/>
    <w:bookmarkStart w:name="z17" w:id="15"/>
    <w:p>
      <w:pPr>
        <w:spacing w:after="0"/>
        <w:ind w:left="0"/>
        <w:jc w:val="both"/>
      </w:pPr>
      <w:r>
        <w:rPr>
          <w:rFonts w:ascii="Times New Roman"/>
          <w:b w:val="false"/>
          <w:i w:val="false"/>
          <w:color w:val="000000"/>
          <w:sz w:val="28"/>
        </w:rPr>
        <w:t>
      4. Стратегияны әзірлеу екі кезеңнен:</w:t>
      </w:r>
    </w:p>
    <w:bookmarkEnd w:id="15"/>
    <w:p>
      <w:pPr>
        <w:spacing w:after="0"/>
        <w:ind w:left="0"/>
        <w:jc w:val="both"/>
      </w:pPr>
      <w:r>
        <w:rPr>
          <w:rFonts w:ascii="Times New Roman"/>
          <w:b w:val="false"/>
          <w:i w:val="false"/>
          <w:color w:val="000000"/>
          <w:sz w:val="28"/>
        </w:rPr>
        <w:t>
      1) қаланың дамуын талдаудан;</w:t>
      </w:r>
    </w:p>
    <w:p>
      <w:pPr>
        <w:spacing w:after="0"/>
        <w:ind w:left="0"/>
        <w:jc w:val="both"/>
      </w:pPr>
      <w:r>
        <w:rPr>
          <w:rFonts w:ascii="Times New Roman"/>
          <w:b w:val="false"/>
          <w:i w:val="false"/>
          <w:color w:val="000000"/>
          <w:sz w:val="28"/>
        </w:rPr>
        <w:t>
      2) қаланың 2050 жылға дейін дамуын жоспарлаудан тұрады.</w:t>
      </w:r>
    </w:p>
    <w:bookmarkStart w:name="z18" w:id="16"/>
    <w:p>
      <w:pPr>
        <w:spacing w:after="0"/>
        <w:ind w:left="0"/>
        <w:jc w:val="both"/>
      </w:pPr>
      <w:r>
        <w:rPr>
          <w:rFonts w:ascii="Times New Roman"/>
          <w:b w:val="false"/>
          <w:i w:val="false"/>
          <w:color w:val="000000"/>
          <w:sz w:val="28"/>
        </w:rPr>
        <w:t>
      5. Қаланың дамуын талдау кезеңінде мыналар:</w:t>
      </w:r>
    </w:p>
    <w:bookmarkEnd w:id="16"/>
    <w:p>
      <w:pPr>
        <w:spacing w:after="0"/>
        <w:ind w:left="0"/>
        <w:jc w:val="both"/>
      </w:pPr>
      <w:r>
        <w:rPr>
          <w:rFonts w:ascii="Times New Roman"/>
          <w:b w:val="false"/>
          <w:i w:val="false"/>
          <w:color w:val="000000"/>
          <w:sz w:val="28"/>
        </w:rPr>
        <w:t>
      ішкі (өткен жылдардағы қаланың және оның маңындағы елді мекендердің әлеуметтік-экономикалық дамуы) және сыртқы (қаланың дамуына тікелей әсер ететін республикадағы және іргелес елдердегі экономикалық процестер) ортадағы бар процестер мен үрдістер;</w:t>
      </w:r>
    </w:p>
    <w:p>
      <w:pPr>
        <w:spacing w:after="0"/>
        <w:ind w:left="0"/>
        <w:jc w:val="both"/>
      </w:pPr>
      <w:r>
        <w:rPr>
          <w:rFonts w:ascii="Times New Roman"/>
          <w:b w:val="false"/>
          <w:i w:val="false"/>
          <w:color w:val="000000"/>
          <w:sz w:val="28"/>
        </w:rPr>
        <w:t>
      қала дамуының мүмкіндіктері мен әлеуетті қауіптері ортасы;</w:t>
      </w:r>
    </w:p>
    <w:p>
      <w:pPr>
        <w:spacing w:after="0"/>
        <w:ind w:left="0"/>
        <w:jc w:val="both"/>
      </w:pPr>
      <w:r>
        <w:rPr>
          <w:rFonts w:ascii="Times New Roman"/>
          <w:b w:val="false"/>
          <w:i w:val="false"/>
          <w:color w:val="000000"/>
          <w:sz w:val="28"/>
        </w:rPr>
        <w:t>
      шешімі қаланың одан әрі дамуы үшін қажет проблемалар анықталады;</w:t>
      </w:r>
    </w:p>
    <w:bookmarkStart w:name="z19" w:id="17"/>
    <w:p>
      <w:pPr>
        <w:spacing w:after="0"/>
        <w:ind w:left="0"/>
        <w:jc w:val="both"/>
      </w:pPr>
      <w:r>
        <w:rPr>
          <w:rFonts w:ascii="Times New Roman"/>
          <w:b w:val="false"/>
          <w:i w:val="false"/>
          <w:color w:val="000000"/>
          <w:sz w:val="28"/>
        </w:rPr>
        <w:t>
      6. Қаланың дамуын талдау кезеңі: сыртқы және ішкі факторларды, статистикалық деректерді зерделеуді, сұхбат, пікіртерімдер, фокус-топтар, мүдделі тараптармен консультациялар өткізуді көздейді. Талдау жүргізу кезінде әдістердің бірі ретінде SWOT-талдау пайдаланылады.</w:t>
      </w:r>
    </w:p>
    <w:bookmarkEnd w:id="17"/>
    <w:p>
      <w:pPr>
        <w:spacing w:after="0"/>
        <w:ind w:left="0"/>
        <w:jc w:val="both"/>
      </w:pPr>
      <w:r>
        <w:rPr>
          <w:rFonts w:ascii="Times New Roman"/>
          <w:b w:val="false"/>
          <w:i w:val="false"/>
          <w:color w:val="000000"/>
          <w:sz w:val="28"/>
        </w:rPr>
        <w:t>
      Жүргізілген талдау нәтижелері стратегияны әзірлеу кезінде: даму пайымы мен стратегиялық даму бағыттары ескеріле отырып қолданылады.</w:t>
      </w:r>
    </w:p>
    <w:bookmarkStart w:name="z20" w:id="18"/>
    <w:p>
      <w:pPr>
        <w:spacing w:after="0"/>
        <w:ind w:left="0"/>
        <w:jc w:val="both"/>
      </w:pPr>
      <w:r>
        <w:rPr>
          <w:rFonts w:ascii="Times New Roman"/>
          <w:b w:val="false"/>
          <w:i w:val="false"/>
          <w:color w:val="000000"/>
          <w:sz w:val="28"/>
        </w:rPr>
        <w:t>
      7. Стратегияның әзірленіп жатқан бағыттары қаланың даму пайымын іске асыруға бағытталады.</w:t>
      </w:r>
    </w:p>
    <w:bookmarkEnd w:id="18"/>
    <w:bookmarkStart w:name="z21" w:id="19"/>
    <w:p>
      <w:pPr>
        <w:spacing w:after="0"/>
        <w:ind w:left="0"/>
        <w:jc w:val="both"/>
      </w:pPr>
      <w:r>
        <w:rPr>
          <w:rFonts w:ascii="Times New Roman"/>
          <w:b w:val="false"/>
          <w:i w:val="false"/>
          <w:color w:val="000000"/>
          <w:sz w:val="28"/>
        </w:rPr>
        <w:t>
      8. Әр стратегиялық бағыт үшін ағымдағы жағдай, проблемалар, шешу жолдары сипатталады.</w:t>
      </w:r>
    </w:p>
    <w:bookmarkEnd w:id="19"/>
    <w:bookmarkStart w:name="z22" w:id="20"/>
    <w:p>
      <w:pPr>
        <w:spacing w:after="0"/>
        <w:ind w:left="0"/>
        <w:jc w:val="both"/>
      </w:pPr>
      <w:r>
        <w:rPr>
          <w:rFonts w:ascii="Times New Roman"/>
          <w:b w:val="false"/>
          <w:i w:val="false"/>
          <w:color w:val="000000"/>
          <w:sz w:val="28"/>
        </w:rPr>
        <w:t>
      9. Стратегияны жоспарлау кезеңінде нысаналы индикаторлар және олардың мәндері айқындалады.</w:t>
      </w:r>
    </w:p>
    <w:bookmarkEnd w:id="20"/>
    <w:bookmarkStart w:name="z23" w:id="21"/>
    <w:p>
      <w:pPr>
        <w:spacing w:after="0"/>
        <w:ind w:left="0"/>
        <w:jc w:val="both"/>
      </w:pPr>
      <w:r>
        <w:rPr>
          <w:rFonts w:ascii="Times New Roman"/>
          <w:b w:val="false"/>
          <w:i w:val="false"/>
          <w:color w:val="000000"/>
          <w:sz w:val="28"/>
        </w:rPr>
        <w:t>
      10. Стратегияда:</w:t>
      </w:r>
    </w:p>
    <w:bookmarkEnd w:id="21"/>
    <w:p>
      <w:pPr>
        <w:spacing w:after="0"/>
        <w:ind w:left="0"/>
        <w:jc w:val="both"/>
      </w:pPr>
      <w:r>
        <w:rPr>
          <w:rFonts w:ascii="Times New Roman"/>
          <w:b w:val="false"/>
          <w:i w:val="false"/>
          <w:color w:val="000000"/>
          <w:sz w:val="28"/>
        </w:rPr>
        <w:t>
      пікіртерім деректеріне негізделген халықаралық, отандық рейтингтердің көрсеткіштері;</w:t>
      </w:r>
    </w:p>
    <w:p>
      <w:pPr>
        <w:spacing w:after="0"/>
        <w:ind w:left="0"/>
        <w:jc w:val="both"/>
      </w:pPr>
      <w:r>
        <w:rPr>
          <w:rFonts w:ascii="Times New Roman"/>
          <w:b w:val="false"/>
          <w:i w:val="false"/>
          <w:color w:val="000000"/>
          <w:sz w:val="28"/>
        </w:rPr>
        <w:t>
      қазіргі уақыттағы әлемнің ең үздік қалаларының деректерімен (түрлі рейтингтер бойынша) салыстыру қолданылады;</w:t>
      </w:r>
    </w:p>
    <w:bookmarkStart w:name="z24" w:id="22"/>
    <w:p>
      <w:pPr>
        <w:spacing w:after="0"/>
        <w:ind w:left="0"/>
        <w:jc w:val="both"/>
      </w:pPr>
      <w:r>
        <w:rPr>
          <w:rFonts w:ascii="Times New Roman"/>
          <w:b w:val="false"/>
          <w:i w:val="false"/>
          <w:color w:val="000000"/>
          <w:sz w:val="28"/>
        </w:rPr>
        <w:t>
      11. Стратегияны әзірлеу тиісті қалаға жақын орналасқан, функционалдық қалалық ауданды құрайтын елді мекендердің (моно және шағын қалалар, ауылдар) дамуын ескере отырып жүзеге асырылады.</w:t>
      </w:r>
    </w:p>
    <w:bookmarkEnd w:id="22"/>
    <w:bookmarkStart w:name="z25" w:id="23"/>
    <w:p>
      <w:pPr>
        <w:spacing w:after="0"/>
        <w:ind w:left="0"/>
        <w:jc w:val="both"/>
      </w:pPr>
      <w:r>
        <w:rPr>
          <w:rFonts w:ascii="Times New Roman"/>
          <w:b w:val="false"/>
          <w:i w:val="false"/>
          <w:color w:val="000000"/>
          <w:sz w:val="28"/>
        </w:rPr>
        <w:t>
      12. Стратегияны іске асыру Қазақстанның 2050 жылға дейінгі даму стратегиясының мақсаттарына қол жеткізуге бағытталатын болады.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Ұлттық экономика министрінің 20.01.2025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13. Стратегия 2050 жылға дейін әзірленеді.</w:t>
      </w:r>
    </w:p>
    <w:bookmarkEnd w:id="24"/>
    <w:p>
      <w:pPr>
        <w:spacing w:after="0"/>
        <w:ind w:left="0"/>
        <w:jc w:val="both"/>
      </w:pPr>
      <w:r>
        <w:rPr>
          <w:rFonts w:ascii="Times New Roman"/>
          <w:b w:val="false"/>
          <w:i w:val="false"/>
          <w:color w:val="000000"/>
          <w:sz w:val="28"/>
        </w:rPr>
        <w:t>
      Стратегияны әзірлеуді аталған салада заманауи стратегиялық жоспарлау тәжірибесі бар ұйымдарды, сарапшыларды тарта отырып жүзеге асыру ұсынылады. Зерттеу жүргізуде негізсіз және жоғары шығыстарды болдырмау және консультанттарды тарту мақсатында стратегия жобасын әзірлеуші мемлекеттік орган зерттеу құнының есебін (консультанттарды тарту) жасайды және облыстық (республикалық маңызы бар қаланың, астананың) бюджет комиссиясының қарауы үшін мемлекеттік жоспарлау жөніндегі жергілікті уәкілетті органға бюджеттік өтінім құрамында белгіленген тәртіпте ұсынады.</w:t>
      </w:r>
    </w:p>
    <w:bookmarkStart w:name="z27" w:id="25"/>
    <w:p>
      <w:pPr>
        <w:spacing w:after="0"/>
        <w:ind w:left="0"/>
        <w:jc w:val="both"/>
      </w:pPr>
      <w:r>
        <w:rPr>
          <w:rFonts w:ascii="Times New Roman"/>
          <w:b w:val="false"/>
          <w:i w:val="false"/>
          <w:color w:val="000000"/>
          <w:sz w:val="28"/>
        </w:rPr>
        <w:t xml:space="preserve">
      14. Стратегия жобасы бойынша "Қоғамдық кеңестер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қоғамдық тыңдаулар өткізіледі.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29.04.2022 </w:t>
      </w:r>
      <w:r>
        <w:rPr>
          <w:rFonts w:ascii="Times New Roman"/>
          <w:b w:val="false"/>
          <w:i w:val="false"/>
          <w:color w:val="ff0000"/>
          <w:sz w:val="28"/>
        </w:rPr>
        <w:t>№ 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15. Қоғамдық тыңдаулар өткізілгеннен кейін стратегия жобасы мемлекеттік жоспарлау жөніндегі орталық уәкілетті органмен келісіледі. Бұл ретте республикалық маңызы бар қалалар мен астананың әкімдіктері стратегия жобасын оларға іргелес облыстардың әкімдіктерімен келіседі.</w:t>
      </w:r>
    </w:p>
    <w:bookmarkEnd w:id="26"/>
    <w:bookmarkStart w:name="z29" w:id="27"/>
    <w:p>
      <w:pPr>
        <w:spacing w:after="0"/>
        <w:ind w:left="0"/>
        <w:jc w:val="both"/>
      </w:pPr>
      <w:r>
        <w:rPr>
          <w:rFonts w:ascii="Times New Roman"/>
          <w:b w:val="false"/>
          <w:i w:val="false"/>
          <w:color w:val="000000"/>
          <w:sz w:val="28"/>
        </w:rPr>
        <w:t>
      16. Стратегия жобасы мемлекеттік жоспарлау жөніндегі орталық уәкілетті органмен келісілгеннен кейін жергілікті мемлекеттік басқару және өзін-өзі басқару туралы Қазақстан Республикасының заңнамасына сәйкес тиісті әкімшілік-аумақтық бірліктердің әкімдіктерінің ұсынысы бойынша облыстардың, республикалық маңызы бар қалалардың, астананың мәслихаттары сессиясында Қазақстан Республикасы Президентінің Әкімшілігімен келісу бойынша бекітіледі.</w:t>
      </w:r>
    </w:p>
    <w:bookmarkEnd w:id="27"/>
    <w:bookmarkStart w:name="z30" w:id="28"/>
    <w:p>
      <w:pPr>
        <w:spacing w:after="0"/>
        <w:ind w:left="0"/>
        <w:jc w:val="left"/>
      </w:pPr>
      <w:r>
        <w:rPr>
          <w:rFonts w:ascii="Times New Roman"/>
          <w:b/>
          <w:i w:val="false"/>
          <w:color w:val="000000"/>
        </w:rPr>
        <w:t xml:space="preserve"> 3-тарау. Қалалардың даму стратегиясының құрылымы</w:t>
      </w:r>
    </w:p>
    <w:bookmarkEnd w:id="28"/>
    <w:bookmarkStart w:name="z31" w:id="29"/>
    <w:p>
      <w:pPr>
        <w:spacing w:after="0"/>
        <w:ind w:left="0"/>
        <w:jc w:val="both"/>
      </w:pPr>
      <w:r>
        <w:rPr>
          <w:rFonts w:ascii="Times New Roman"/>
          <w:b w:val="false"/>
          <w:i w:val="false"/>
          <w:color w:val="000000"/>
          <w:sz w:val="28"/>
        </w:rPr>
        <w:t>
      17. Стратегия құрылымы:</w:t>
      </w:r>
    </w:p>
    <w:bookmarkEnd w:id="29"/>
    <w:p>
      <w:pPr>
        <w:spacing w:after="0"/>
        <w:ind w:left="0"/>
        <w:jc w:val="both"/>
      </w:pPr>
      <w:r>
        <w:rPr>
          <w:rFonts w:ascii="Times New Roman"/>
          <w:b w:val="false"/>
          <w:i w:val="false"/>
          <w:color w:val="000000"/>
          <w:sz w:val="28"/>
        </w:rPr>
        <w:t>
      1) қаланың ағымдағы даму жағдайын талдау;</w:t>
      </w:r>
    </w:p>
    <w:p>
      <w:pPr>
        <w:spacing w:after="0"/>
        <w:ind w:left="0"/>
        <w:jc w:val="both"/>
      </w:pPr>
      <w:r>
        <w:rPr>
          <w:rFonts w:ascii="Times New Roman"/>
          <w:b w:val="false"/>
          <w:i w:val="false"/>
          <w:color w:val="000000"/>
          <w:sz w:val="28"/>
        </w:rPr>
        <w:t>
      2) қалаға қатысты қорытындылары бар халықаралық тәжірибе;</w:t>
      </w:r>
    </w:p>
    <w:p>
      <w:pPr>
        <w:spacing w:after="0"/>
        <w:ind w:left="0"/>
        <w:jc w:val="both"/>
      </w:pPr>
      <w:r>
        <w:rPr>
          <w:rFonts w:ascii="Times New Roman"/>
          <w:b w:val="false"/>
          <w:i w:val="false"/>
          <w:color w:val="000000"/>
          <w:sz w:val="28"/>
        </w:rPr>
        <w:t>
      3) қаланың даму пайымы;</w:t>
      </w:r>
    </w:p>
    <w:p>
      <w:pPr>
        <w:spacing w:after="0"/>
        <w:ind w:left="0"/>
        <w:jc w:val="both"/>
      </w:pPr>
      <w:r>
        <w:rPr>
          <w:rFonts w:ascii="Times New Roman"/>
          <w:b w:val="false"/>
          <w:i w:val="false"/>
          <w:color w:val="000000"/>
          <w:sz w:val="28"/>
        </w:rPr>
        <w:t>
      4) қаланың стратегиялық даму бағыттары:</w:t>
      </w:r>
    </w:p>
    <w:p>
      <w:pPr>
        <w:spacing w:after="0"/>
        <w:ind w:left="0"/>
        <w:jc w:val="both"/>
      </w:pPr>
      <w:r>
        <w:rPr>
          <w:rFonts w:ascii="Times New Roman"/>
          <w:b w:val="false"/>
          <w:i w:val="false"/>
          <w:color w:val="000000"/>
          <w:sz w:val="28"/>
        </w:rPr>
        <w:t>
      қаланың креативті экономикасы;</w:t>
      </w:r>
    </w:p>
    <w:p>
      <w:pPr>
        <w:spacing w:after="0"/>
        <w:ind w:left="0"/>
        <w:jc w:val="both"/>
      </w:pPr>
      <w:r>
        <w:rPr>
          <w:rFonts w:ascii="Times New Roman"/>
          <w:b w:val="false"/>
          <w:i w:val="false"/>
          <w:color w:val="000000"/>
          <w:sz w:val="28"/>
        </w:rPr>
        <w:t>
      адами даму;</w:t>
      </w:r>
    </w:p>
    <w:p>
      <w:pPr>
        <w:spacing w:after="0"/>
        <w:ind w:left="0"/>
        <w:jc w:val="both"/>
      </w:pPr>
      <w:r>
        <w:rPr>
          <w:rFonts w:ascii="Times New Roman"/>
          <w:b w:val="false"/>
          <w:i w:val="false"/>
          <w:color w:val="000000"/>
          <w:sz w:val="28"/>
        </w:rPr>
        <w:t>
      қоршаған орта;</w:t>
      </w:r>
    </w:p>
    <w:p>
      <w:pPr>
        <w:spacing w:after="0"/>
        <w:ind w:left="0"/>
        <w:jc w:val="both"/>
      </w:pPr>
      <w:r>
        <w:rPr>
          <w:rFonts w:ascii="Times New Roman"/>
          <w:b w:val="false"/>
          <w:i w:val="false"/>
          <w:color w:val="000000"/>
          <w:sz w:val="28"/>
        </w:rPr>
        <w:t>
      smartcity/ цифрландыру;</w:t>
      </w:r>
    </w:p>
    <w:p>
      <w:pPr>
        <w:spacing w:after="0"/>
        <w:ind w:left="0"/>
        <w:jc w:val="both"/>
      </w:pPr>
      <w:r>
        <w:rPr>
          <w:rFonts w:ascii="Times New Roman"/>
          <w:b w:val="false"/>
          <w:i w:val="false"/>
          <w:color w:val="000000"/>
          <w:sz w:val="28"/>
        </w:rPr>
        <w:t>
      қалалық жоспарлау;</w:t>
      </w:r>
    </w:p>
    <w:p>
      <w:pPr>
        <w:spacing w:after="0"/>
        <w:ind w:left="0"/>
        <w:jc w:val="both"/>
      </w:pPr>
      <w:r>
        <w:rPr>
          <w:rFonts w:ascii="Times New Roman"/>
          <w:b w:val="false"/>
          <w:i w:val="false"/>
          <w:color w:val="000000"/>
          <w:sz w:val="28"/>
        </w:rPr>
        <w:t>
      5) нысаналы индикаторлар;</w:t>
      </w:r>
    </w:p>
    <w:p>
      <w:pPr>
        <w:spacing w:after="0"/>
        <w:ind w:left="0"/>
        <w:jc w:val="both"/>
      </w:pPr>
      <w:r>
        <w:rPr>
          <w:rFonts w:ascii="Times New Roman"/>
          <w:b w:val="false"/>
          <w:i w:val="false"/>
          <w:color w:val="000000"/>
          <w:sz w:val="28"/>
        </w:rPr>
        <w:t>
      6) іске асыру және мониторингілеу (бақылау) тетігін қамтиды.</w:t>
      </w:r>
    </w:p>
    <w:bookmarkStart w:name="z32" w:id="30"/>
    <w:p>
      <w:pPr>
        <w:spacing w:after="0"/>
        <w:ind w:left="0"/>
        <w:jc w:val="both"/>
      </w:pPr>
      <w:r>
        <w:rPr>
          <w:rFonts w:ascii="Times New Roman"/>
          <w:b w:val="false"/>
          <w:i w:val="false"/>
          <w:color w:val="000000"/>
          <w:sz w:val="28"/>
        </w:rPr>
        <w:t>
      18. Қаланың ағымдағы даму жағдайын талдау бөлімі соңғы 10 жылдағы халық санының серпінін, көші-қон сальдосын, халықтың білім деңгейі бойынша құрамын, NEET үлесін (экономикалық, әлеуметтік сипаттағы түрлі факторларға байланысты жұмыс істемейтін және оқымайтын жастардың ұрпағы), қала халқының жалпы санындағы жоғарғы оқу орындарындағы студенттердің үлесін және оның соңғы 10 жылдағы серпінін, нәрестелер мен ана өлім-жітімінің деңгейін және олардың соңғы 10 жылдағы серпінін, жоғары оқу орындарының, техникалық және кәсіптік білім беру оқу орындарының қысқаша сипаттамасын, халықаралық сыныптама бойынша қаланың жоғары оқу орындарының рейтингісін, сондай-ақ халықтың жұмыспен қамтылу құрылымы мен қаланың әлеуметтік-экономикалық дамуының басқа да маңызды аспектілерін қамтиды.</w:t>
      </w:r>
    </w:p>
    <w:bookmarkEnd w:id="30"/>
    <w:bookmarkStart w:name="z33" w:id="31"/>
    <w:p>
      <w:pPr>
        <w:spacing w:after="0"/>
        <w:ind w:left="0"/>
        <w:jc w:val="both"/>
      </w:pPr>
      <w:r>
        <w:rPr>
          <w:rFonts w:ascii="Times New Roman"/>
          <w:b w:val="false"/>
          <w:i w:val="false"/>
          <w:color w:val="000000"/>
          <w:sz w:val="28"/>
        </w:rPr>
        <w:t>
      19. Халықаралық тәжірибе бөлімі қаралатын қаланы 2050 жылға дейін жоспарлау мен дамытуға қатысты жоғары дамыған елдердің (Вена, Мельбурн, Дублин және басқалары) ірі қалаларын жоспарлау мен табысты дамытудың мысалдарын қамтиды.</w:t>
      </w:r>
    </w:p>
    <w:bookmarkEnd w:id="31"/>
    <w:bookmarkStart w:name="z34" w:id="32"/>
    <w:p>
      <w:pPr>
        <w:spacing w:after="0"/>
        <w:ind w:left="0"/>
        <w:jc w:val="both"/>
      </w:pPr>
      <w:r>
        <w:rPr>
          <w:rFonts w:ascii="Times New Roman"/>
          <w:b w:val="false"/>
          <w:i w:val="false"/>
          <w:color w:val="000000"/>
          <w:sz w:val="28"/>
        </w:rPr>
        <w:t xml:space="preserve">
      20. Қаланың даму пайымы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құжаттарға сәйкес жасалады.</w:t>
      </w:r>
    </w:p>
    <w:bookmarkEnd w:id="32"/>
    <w:p>
      <w:pPr>
        <w:spacing w:after="0"/>
        <w:ind w:left="0"/>
        <w:jc w:val="both"/>
      </w:pPr>
      <w:r>
        <w:rPr>
          <w:rFonts w:ascii="Times New Roman"/>
          <w:b w:val="false"/>
          <w:i w:val="false"/>
          <w:color w:val="000000"/>
          <w:sz w:val="28"/>
        </w:rPr>
        <w:t>
      Қаланың даму пайымы тұтастай қамтитын және жалпы мақсатты сипатқа ие, күтілетін ұзақ мерзімді нәтижелерді сипаттайды, қаланың өсу резервін ескере отырып, оның болашақ дамуына қатысты басымдықтарды көрсетеді.</w:t>
      </w:r>
    </w:p>
    <w:bookmarkStart w:name="z35" w:id="33"/>
    <w:p>
      <w:pPr>
        <w:spacing w:after="0"/>
        <w:ind w:left="0"/>
        <w:jc w:val="both"/>
      </w:pPr>
      <w:r>
        <w:rPr>
          <w:rFonts w:ascii="Times New Roman"/>
          <w:b w:val="false"/>
          <w:i w:val="false"/>
          <w:color w:val="000000"/>
          <w:sz w:val="28"/>
        </w:rPr>
        <w:t>
      21. Қаланың креативті экономикасы бөлімі:</w:t>
      </w:r>
    </w:p>
    <w:bookmarkEnd w:id="33"/>
    <w:p>
      <w:pPr>
        <w:spacing w:after="0"/>
        <w:ind w:left="0"/>
        <w:jc w:val="both"/>
      </w:pPr>
      <w:r>
        <w:rPr>
          <w:rFonts w:ascii="Times New Roman"/>
          <w:b w:val="false"/>
          <w:i w:val="false"/>
          <w:color w:val="000000"/>
          <w:sz w:val="28"/>
        </w:rPr>
        <w:t>
      1) экономикалық қызмет түрлерін дамыту перспективаларының ағымдағы жағдайын талдауды, жаңа инновациялық қызмет түрлерін құруды, келесі ұрпақтардың инфрақұрылымға дайындығы мен қажеттіліктерін;</w:t>
      </w:r>
    </w:p>
    <w:p>
      <w:pPr>
        <w:spacing w:after="0"/>
        <w:ind w:left="0"/>
        <w:jc w:val="both"/>
      </w:pPr>
      <w:r>
        <w:rPr>
          <w:rFonts w:ascii="Times New Roman"/>
          <w:b w:val="false"/>
          <w:i w:val="false"/>
          <w:color w:val="000000"/>
          <w:sz w:val="28"/>
        </w:rPr>
        <w:t>
      2) қаланың креативті экономикасының дамуымен, сыртқы және ішкі факторлардың қаланың даму перспективаларына ықпалымен байланысты міндеттер мен проблемаларды сипаттау және шешу және экономиканы дамытудың жаңа бағыттарын құру және/немесе қолданыстағы немесе тоқыраудағы өндірістерді жаңғыртуды қамтиды.</w:t>
      </w:r>
    </w:p>
    <w:p>
      <w:pPr>
        <w:spacing w:after="0"/>
        <w:ind w:left="0"/>
        <w:jc w:val="both"/>
      </w:pPr>
      <w:r>
        <w:rPr>
          <w:rFonts w:ascii="Times New Roman"/>
          <w:b w:val="false"/>
          <w:i w:val="false"/>
          <w:color w:val="000000"/>
          <w:sz w:val="28"/>
        </w:rPr>
        <w:t>
      Қаланың креативті экономикасының нысаналы даму индикаторларын айқындау кезінде Doing business, Economic complexity atlas, World’s best cities халықаралық рейтингілік агенттіктерінің әдістемелері және Экономикалық ынтымақтастық және даму ұйымының (бұдан әрі - ЭЫДҰ) дамуы мен экономика көрсеткіштері пайдаланылады.</w:t>
      </w:r>
    </w:p>
    <w:bookmarkStart w:name="z36" w:id="34"/>
    <w:p>
      <w:pPr>
        <w:spacing w:after="0"/>
        <w:ind w:left="0"/>
        <w:jc w:val="both"/>
      </w:pPr>
      <w:r>
        <w:rPr>
          <w:rFonts w:ascii="Times New Roman"/>
          <w:b w:val="false"/>
          <w:i w:val="false"/>
          <w:color w:val="000000"/>
          <w:sz w:val="28"/>
        </w:rPr>
        <w:t>
      22. Адами капиталды дамыту бөлімі қаладағы білім беру деңгейі, жұмыс күшінің біліктілігі, кәсіби білім беру ұйымдарының болуы, күтілетін өмір сүру ұзақтығы бойынша жағдайды талдауды, сондай-ақ міндеттер мен проблемаларды сипаттау және оларды шешу жолдарын қамтиды.</w:t>
      </w:r>
    </w:p>
    <w:bookmarkEnd w:id="34"/>
    <w:p>
      <w:pPr>
        <w:spacing w:after="0"/>
        <w:ind w:left="0"/>
        <w:jc w:val="both"/>
      </w:pPr>
      <w:r>
        <w:rPr>
          <w:rFonts w:ascii="Times New Roman"/>
          <w:b w:val="false"/>
          <w:i w:val="false"/>
          <w:color w:val="000000"/>
          <w:sz w:val="28"/>
        </w:rPr>
        <w:t xml:space="preserve">
      Шешу жолдары ағымдағы процестермен және үрдістермен, оның ішінде демографиялық процестермен, көші-қонмен, экономикалық дамумен, сондай-ақ қаланың даму пайымымен өзара байланыста адами капиталдың болжамды болашақ даму өзгерістерімен өзара байланыста болуы тиіс. </w:t>
      </w:r>
    </w:p>
    <w:bookmarkStart w:name="z37" w:id="35"/>
    <w:p>
      <w:pPr>
        <w:spacing w:after="0"/>
        <w:ind w:left="0"/>
        <w:jc w:val="both"/>
      </w:pPr>
      <w:r>
        <w:rPr>
          <w:rFonts w:ascii="Times New Roman"/>
          <w:b w:val="false"/>
          <w:i w:val="false"/>
          <w:color w:val="000000"/>
          <w:sz w:val="28"/>
        </w:rPr>
        <w:t>
      23. Қоршаған орта бөлімі:</w:t>
      </w:r>
    </w:p>
    <w:bookmarkEnd w:id="35"/>
    <w:p>
      <w:pPr>
        <w:spacing w:after="0"/>
        <w:ind w:left="0"/>
        <w:jc w:val="both"/>
      </w:pPr>
      <w:r>
        <w:rPr>
          <w:rFonts w:ascii="Times New Roman"/>
          <w:b w:val="false"/>
          <w:i w:val="false"/>
          <w:color w:val="000000"/>
          <w:sz w:val="28"/>
        </w:rPr>
        <w:t>
      1) қалада жасыл экономиканы дамытудың ағымдағы жағдайын талдауды, атмосфераға ингредиенттер мен шығарындылар көлемін талдауды және аумақтарды қатты тұрмыстық қалдықтардан тазалау тәртібін, қаланы одан әрі қамту шаралары мен шығындарын көрсете отырып, оны көгалдандыруды;</w:t>
      </w:r>
    </w:p>
    <w:p>
      <w:pPr>
        <w:spacing w:after="0"/>
        <w:ind w:left="0"/>
        <w:jc w:val="both"/>
      </w:pPr>
      <w:r>
        <w:rPr>
          <w:rFonts w:ascii="Times New Roman"/>
          <w:b w:val="false"/>
          <w:i w:val="false"/>
          <w:color w:val="000000"/>
          <w:sz w:val="28"/>
        </w:rPr>
        <w:t>
      2) қаланың қоршаған ортасымен байланысты міндеттер мен проблемалардың сипаттамасы мен шешімі, атмосфераға шығарындыларды төмендету, қатты тұрмыстық қалдықтарды заманауи зауыт технологиялары бойынша қайта өңдеу шараларын қамтиды.</w:t>
      </w:r>
    </w:p>
    <w:bookmarkStart w:name="z38" w:id="36"/>
    <w:p>
      <w:pPr>
        <w:spacing w:after="0"/>
        <w:ind w:left="0"/>
        <w:jc w:val="both"/>
      </w:pPr>
      <w:r>
        <w:rPr>
          <w:rFonts w:ascii="Times New Roman"/>
          <w:b w:val="false"/>
          <w:i w:val="false"/>
          <w:color w:val="000000"/>
          <w:sz w:val="28"/>
        </w:rPr>
        <w:t>
      24. Smartcity/цифрландыру бөлімі:</w:t>
      </w:r>
    </w:p>
    <w:bookmarkEnd w:id="36"/>
    <w:p>
      <w:pPr>
        <w:spacing w:after="0"/>
        <w:ind w:left="0"/>
        <w:jc w:val="both"/>
      </w:pPr>
      <w:r>
        <w:rPr>
          <w:rFonts w:ascii="Times New Roman"/>
          <w:b w:val="false"/>
          <w:i w:val="false"/>
          <w:color w:val="000000"/>
          <w:sz w:val="28"/>
        </w:rPr>
        <w:t>
      1) қалада "ақылды технологияларды" дамытудың ағымдағы жағдайды, халықтың және мемлекеттік қызметтерді көрсету объектілерін цифрландыру деңгейін талдауды;</w:t>
      </w:r>
    </w:p>
    <w:p>
      <w:pPr>
        <w:spacing w:after="0"/>
        <w:ind w:left="0"/>
        <w:jc w:val="both"/>
      </w:pPr>
      <w:r>
        <w:rPr>
          <w:rFonts w:ascii="Times New Roman"/>
          <w:b w:val="false"/>
          <w:i w:val="false"/>
          <w:color w:val="000000"/>
          <w:sz w:val="28"/>
        </w:rPr>
        <w:t>
      2) ақылды қаланың жұмыс істеуімен байланысты міндеттер мен проблемалардың сипаттамасы мен шешімін, ақылды технологияларға және заманауи платформаларға қол жеткізуді, ақпараттық технологиялар қауіпсіздігін қамтиды.</w:t>
      </w:r>
    </w:p>
    <w:p>
      <w:pPr>
        <w:spacing w:after="0"/>
        <w:ind w:left="0"/>
        <w:jc w:val="both"/>
      </w:pPr>
      <w:r>
        <w:rPr>
          <w:rFonts w:ascii="Times New Roman"/>
          <w:b w:val="false"/>
          <w:i w:val="false"/>
          <w:color w:val="000000"/>
          <w:sz w:val="28"/>
        </w:rPr>
        <w:t>
      Қаланың креативті экономикасының нысаналы даму индикаторларын айқындау кезінде ЭЫДҰ, халықаралық рейтингілік агенттіктердің әдістемелері мен көрсеткіштері және халыққа технологияларды дамытуға және одан әрі цифрландыру бойынша ұсынылатын шешімдерге қатысты жүргізілген пікіртерімдер пайдаланылады.</w:t>
      </w:r>
    </w:p>
    <w:bookmarkStart w:name="z39" w:id="37"/>
    <w:p>
      <w:pPr>
        <w:spacing w:after="0"/>
        <w:ind w:left="0"/>
        <w:jc w:val="both"/>
      </w:pPr>
      <w:r>
        <w:rPr>
          <w:rFonts w:ascii="Times New Roman"/>
          <w:b w:val="false"/>
          <w:i w:val="false"/>
          <w:color w:val="000000"/>
          <w:sz w:val="28"/>
        </w:rPr>
        <w:t>
      25. Қалалық жоспарлау бөлімі:</w:t>
      </w:r>
    </w:p>
    <w:bookmarkEnd w:id="37"/>
    <w:p>
      <w:pPr>
        <w:spacing w:after="0"/>
        <w:ind w:left="0"/>
        <w:jc w:val="both"/>
      </w:pPr>
      <w:r>
        <w:rPr>
          <w:rFonts w:ascii="Times New Roman"/>
          <w:b w:val="false"/>
          <w:i w:val="false"/>
          <w:color w:val="000000"/>
          <w:sz w:val="28"/>
        </w:rPr>
        <w:t>
      1) қалалық жоспарлау мен маңызды әлеуметтік және логистикалық объектілерді салудың ағымдағы жағдайын талдауды;</w:t>
      </w:r>
    </w:p>
    <w:p>
      <w:pPr>
        <w:spacing w:after="0"/>
        <w:ind w:left="0"/>
        <w:jc w:val="both"/>
      </w:pPr>
      <w:r>
        <w:rPr>
          <w:rFonts w:ascii="Times New Roman"/>
          <w:b w:val="false"/>
          <w:i w:val="false"/>
          <w:color w:val="000000"/>
          <w:sz w:val="28"/>
        </w:rPr>
        <w:t>
      2) кеңістікте жоспарлаумен, халықты қала құрылысы және сәулет қызметі бойынша жоспарланып жатқан шаралар туралы хабардар ету және қолдаумен байланысты міндеттер мен проблемаларды сипаттауды және шешуді қамтиды.</w:t>
      </w:r>
    </w:p>
    <w:p>
      <w:pPr>
        <w:spacing w:after="0"/>
        <w:ind w:left="0"/>
        <w:jc w:val="both"/>
      </w:pPr>
      <w:r>
        <w:rPr>
          <w:rFonts w:ascii="Times New Roman"/>
          <w:b w:val="false"/>
          <w:i w:val="false"/>
          <w:color w:val="000000"/>
          <w:sz w:val="28"/>
        </w:rPr>
        <w:t>
      Қалалық жоспарлаудың нысаналы индикаторларын айқындау кезінде Біріккен ұлттар ұйымының Хабитат (БҰҰ – Хабитат), ЭЫДҰ мен Дүниежүзілік банктің тәсілдері, халыққа қаланы ұсынылатын кеңістікте дамыту бойынша жүргізілген пікітерім пайдаланылады.</w:t>
      </w:r>
    </w:p>
    <w:bookmarkStart w:name="z40" w:id="38"/>
    <w:p>
      <w:pPr>
        <w:spacing w:after="0"/>
        <w:ind w:left="0"/>
        <w:jc w:val="both"/>
      </w:pPr>
      <w:r>
        <w:rPr>
          <w:rFonts w:ascii="Times New Roman"/>
          <w:b w:val="false"/>
          <w:i w:val="false"/>
          <w:color w:val="000000"/>
          <w:sz w:val="28"/>
        </w:rPr>
        <w:t>
      26. Нысаналы индикаторлардың мынадай:</w:t>
      </w:r>
    </w:p>
    <w:bookmarkEnd w:id="38"/>
    <w:p>
      <w:pPr>
        <w:spacing w:after="0"/>
        <w:ind w:left="0"/>
        <w:jc w:val="both"/>
      </w:pPr>
      <w:r>
        <w:rPr>
          <w:rFonts w:ascii="Times New Roman"/>
          <w:b w:val="false"/>
          <w:i w:val="false"/>
          <w:color w:val="000000"/>
          <w:sz w:val="28"/>
        </w:rPr>
        <w:t>
      оларды жоспарланатын кезеңде серпінде салыстыру мүмкіндігі;</w:t>
      </w:r>
    </w:p>
    <w:p>
      <w:pPr>
        <w:spacing w:after="0"/>
        <w:ind w:left="0"/>
        <w:jc w:val="both"/>
      </w:pPr>
      <w:r>
        <w:rPr>
          <w:rFonts w:ascii="Times New Roman"/>
          <w:b w:val="false"/>
          <w:i w:val="false"/>
          <w:color w:val="000000"/>
          <w:sz w:val="28"/>
        </w:rPr>
        <w:t>
      олардың қол жеткізілуін бағалау үшін жеткілікті ақпараттық және техникалық ресурстардың болуы;</w:t>
      </w:r>
    </w:p>
    <w:p>
      <w:pPr>
        <w:spacing w:after="0"/>
        <w:ind w:left="0"/>
        <w:jc w:val="both"/>
      </w:pPr>
      <w:r>
        <w:rPr>
          <w:rFonts w:ascii="Times New Roman"/>
          <w:b w:val="false"/>
          <w:i w:val="false"/>
          <w:color w:val="000000"/>
          <w:sz w:val="28"/>
        </w:rPr>
        <w:t>
      сипаттаманың толықтығы;</w:t>
      </w:r>
    </w:p>
    <w:p>
      <w:pPr>
        <w:spacing w:after="0"/>
        <w:ind w:left="0"/>
        <w:jc w:val="both"/>
      </w:pPr>
      <w:r>
        <w:rPr>
          <w:rFonts w:ascii="Times New Roman"/>
          <w:b w:val="false"/>
          <w:i w:val="false"/>
          <w:color w:val="000000"/>
          <w:sz w:val="28"/>
        </w:rPr>
        <w:t>
      қолжетімділік және өлшемділік;</w:t>
      </w:r>
    </w:p>
    <w:p>
      <w:pPr>
        <w:spacing w:after="0"/>
        <w:ind w:left="0"/>
        <w:jc w:val="both"/>
      </w:pPr>
      <w:r>
        <w:rPr>
          <w:rFonts w:ascii="Times New Roman"/>
          <w:b w:val="false"/>
          <w:i w:val="false"/>
          <w:color w:val="000000"/>
          <w:sz w:val="28"/>
        </w:rPr>
        <w:t>
      олардың қолжеткізілуіне мониторинг және бағалау жүргізу үшін 5 жыл мерзімге аралық мәндердің болуы өлшемшарттарына сәйкестілігі қаралады;</w:t>
      </w:r>
    </w:p>
    <w:p>
      <w:pPr>
        <w:spacing w:after="0"/>
        <w:ind w:left="0"/>
        <w:jc w:val="both"/>
      </w:pPr>
      <w:r>
        <w:rPr>
          <w:rFonts w:ascii="Times New Roman"/>
          <w:b w:val="false"/>
          <w:i w:val="false"/>
          <w:color w:val="000000"/>
          <w:sz w:val="28"/>
        </w:rPr>
        <w:t>
      Түйінді өзгерістерді қамтитын, анықталған проблемалардың шешімін сипаттайтын және мақсаттарға қол жеткізуді бағалау үшін қажетті нысаналы индикаторлар іріктеледі.</w:t>
      </w:r>
    </w:p>
    <w:p>
      <w:pPr>
        <w:spacing w:after="0"/>
        <w:ind w:left="0"/>
        <w:jc w:val="both"/>
      </w:pPr>
      <w:r>
        <w:rPr>
          <w:rFonts w:ascii="Times New Roman"/>
          <w:b w:val="false"/>
          <w:i w:val="false"/>
          <w:color w:val="000000"/>
          <w:sz w:val="28"/>
        </w:rPr>
        <w:t>
      Әр нысаналы индикатор үшін ақпарат көздері және деректерді жинау құралдары айқындалады.</w:t>
      </w:r>
    </w:p>
    <w:p>
      <w:pPr>
        <w:spacing w:after="0"/>
        <w:ind w:left="0"/>
        <w:jc w:val="both"/>
      </w:pPr>
      <w:r>
        <w:rPr>
          <w:rFonts w:ascii="Times New Roman"/>
          <w:b w:val="false"/>
          <w:i w:val="false"/>
          <w:color w:val="000000"/>
          <w:sz w:val="28"/>
        </w:rPr>
        <w:t>
      Стратегия жобасын әзірлеу кезінде әзірлеуші индикаторлардың жалпы санын дербес айқындайды.</w:t>
      </w:r>
    </w:p>
    <w:p>
      <w:pPr>
        <w:spacing w:after="0"/>
        <w:ind w:left="0"/>
        <w:jc w:val="both"/>
      </w:pPr>
      <w:r>
        <w:rPr>
          <w:rFonts w:ascii="Times New Roman"/>
          <w:b w:val="false"/>
          <w:i w:val="false"/>
          <w:color w:val="000000"/>
          <w:sz w:val="28"/>
        </w:rPr>
        <w:t>
      Ұсынылатын нысаналы индикаторлар:</w:t>
      </w:r>
    </w:p>
    <w:p>
      <w:pPr>
        <w:spacing w:after="0"/>
        <w:ind w:left="0"/>
        <w:jc w:val="both"/>
      </w:pPr>
      <w:r>
        <w:rPr>
          <w:rFonts w:ascii="Times New Roman"/>
          <w:b w:val="false"/>
          <w:i w:val="false"/>
          <w:color w:val="000000"/>
          <w:sz w:val="28"/>
        </w:rPr>
        <w:t>
      Қаланың креативті экономикасы:</w:t>
      </w:r>
    </w:p>
    <w:p>
      <w:pPr>
        <w:spacing w:after="0"/>
        <w:ind w:left="0"/>
        <w:jc w:val="both"/>
      </w:pPr>
      <w:r>
        <w:rPr>
          <w:rFonts w:ascii="Times New Roman"/>
          <w:b w:val="false"/>
          <w:i w:val="false"/>
          <w:color w:val="000000"/>
          <w:sz w:val="28"/>
        </w:rPr>
        <w:t>
      экономикалық күрделілік индексі;</w:t>
      </w:r>
    </w:p>
    <w:p>
      <w:pPr>
        <w:spacing w:after="0"/>
        <w:ind w:left="0"/>
        <w:jc w:val="both"/>
      </w:pPr>
      <w:r>
        <w:rPr>
          <w:rFonts w:ascii="Times New Roman"/>
          <w:b w:val="false"/>
          <w:i w:val="false"/>
          <w:color w:val="000000"/>
          <w:sz w:val="28"/>
        </w:rPr>
        <w:t>
      қалалардың Doing Business рейтингісі;</w:t>
      </w:r>
    </w:p>
    <w:p>
      <w:pPr>
        <w:spacing w:after="0"/>
        <w:ind w:left="0"/>
        <w:jc w:val="both"/>
      </w:pPr>
      <w:r>
        <w:rPr>
          <w:rFonts w:ascii="Times New Roman"/>
          <w:b w:val="false"/>
          <w:i w:val="false"/>
          <w:color w:val="000000"/>
          <w:sz w:val="28"/>
        </w:rPr>
        <w:t>
      Doing business, Economic complexity atlas, World’s best cities халықаралық рейтингілік агенттіктерге сәйкес әлемнің 10 ең үздік қалаларының көрсеткіштерімен салыстыру;</w:t>
      </w:r>
    </w:p>
    <w:p>
      <w:pPr>
        <w:spacing w:after="0"/>
        <w:ind w:left="0"/>
        <w:jc w:val="both"/>
      </w:pPr>
      <w:r>
        <w:rPr>
          <w:rFonts w:ascii="Times New Roman"/>
          <w:b w:val="false"/>
          <w:i w:val="false"/>
          <w:color w:val="000000"/>
          <w:sz w:val="28"/>
        </w:rPr>
        <w:t xml:space="preserve">
      ЭЫДҰ-ның дамуы және экономикасы бойынша жеке көрсеткіштері. </w:t>
      </w:r>
    </w:p>
    <w:p>
      <w:pPr>
        <w:spacing w:after="0"/>
        <w:ind w:left="0"/>
        <w:jc w:val="both"/>
      </w:pPr>
      <w:r>
        <w:rPr>
          <w:rFonts w:ascii="Times New Roman"/>
          <w:b w:val="false"/>
          <w:i w:val="false"/>
          <w:color w:val="000000"/>
          <w:sz w:val="28"/>
        </w:rPr>
        <w:t>
      Адами капиталды дамыту:</w:t>
      </w:r>
    </w:p>
    <w:p>
      <w:pPr>
        <w:spacing w:after="0"/>
        <w:ind w:left="0"/>
        <w:jc w:val="both"/>
      </w:pPr>
      <w:r>
        <w:rPr>
          <w:rFonts w:ascii="Times New Roman"/>
          <w:b w:val="false"/>
          <w:i w:val="false"/>
          <w:color w:val="000000"/>
          <w:sz w:val="28"/>
        </w:rPr>
        <w:t>
      күтілетін өмір сүру ұзақтығы, жыл;</w:t>
      </w:r>
    </w:p>
    <w:p>
      <w:pPr>
        <w:spacing w:after="0"/>
        <w:ind w:left="0"/>
        <w:jc w:val="both"/>
      </w:pPr>
      <w:r>
        <w:rPr>
          <w:rFonts w:ascii="Times New Roman"/>
          <w:b w:val="false"/>
          <w:i w:val="false"/>
          <w:color w:val="000000"/>
          <w:sz w:val="28"/>
        </w:rPr>
        <w:t>
      қала халқына шаққандағы жоғары оқу орындары мен колледждер студенттерінің үлесі, проценттік мәнде %;</w:t>
      </w:r>
    </w:p>
    <w:p>
      <w:pPr>
        <w:spacing w:after="0"/>
        <w:ind w:left="0"/>
        <w:jc w:val="both"/>
      </w:pPr>
      <w:r>
        <w:rPr>
          <w:rFonts w:ascii="Times New Roman"/>
          <w:b w:val="false"/>
          <w:i w:val="false"/>
          <w:color w:val="000000"/>
          <w:sz w:val="28"/>
        </w:rPr>
        <w:t>
      NEET индексі.</w:t>
      </w:r>
    </w:p>
    <w:p>
      <w:pPr>
        <w:spacing w:after="0"/>
        <w:ind w:left="0"/>
        <w:jc w:val="both"/>
      </w:pPr>
      <w:r>
        <w:rPr>
          <w:rFonts w:ascii="Times New Roman"/>
          <w:b w:val="false"/>
          <w:i w:val="false"/>
          <w:color w:val="000000"/>
          <w:sz w:val="28"/>
        </w:rPr>
        <w:t>
      Қоршаған орта:</w:t>
      </w:r>
    </w:p>
    <w:p>
      <w:pPr>
        <w:spacing w:after="0"/>
        <w:ind w:left="0"/>
        <w:jc w:val="both"/>
      </w:pPr>
      <w:r>
        <w:rPr>
          <w:rFonts w:ascii="Times New Roman"/>
          <w:b w:val="false"/>
          <w:i w:val="false"/>
          <w:color w:val="000000"/>
          <w:sz w:val="28"/>
        </w:rPr>
        <w:t>
      атмосфераның ластану индексі шәкілі бойынша атмосфераның ластану индексі;</w:t>
      </w:r>
    </w:p>
    <w:p>
      <w:pPr>
        <w:spacing w:after="0"/>
        <w:ind w:left="0"/>
        <w:jc w:val="both"/>
      </w:pPr>
      <w:r>
        <w:rPr>
          <w:rFonts w:ascii="Times New Roman"/>
          <w:b w:val="false"/>
          <w:i w:val="false"/>
          <w:color w:val="000000"/>
          <w:sz w:val="28"/>
        </w:rPr>
        <w:t>
      барынша дамыған елдердің стандарттары бойынша зауыт жағдайында қатты тұрмыстық қалдықтарды қайта өңдеу үлесі, проценттік мәнде %;</w:t>
      </w:r>
    </w:p>
    <w:p>
      <w:pPr>
        <w:spacing w:after="0"/>
        <w:ind w:left="0"/>
        <w:jc w:val="both"/>
      </w:pPr>
      <w:r>
        <w:rPr>
          <w:rFonts w:ascii="Times New Roman"/>
          <w:b w:val="false"/>
          <w:i w:val="false"/>
          <w:color w:val="000000"/>
          <w:sz w:val="28"/>
        </w:rPr>
        <w:t>
      энергетикадағы жаңартылатын энергия көзінің үлесі.</w:t>
      </w:r>
    </w:p>
    <w:p>
      <w:pPr>
        <w:spacing w:after="0"/>
        <w:ind w:left="0"/>
        <w:jc w:val="both"/>
      </w:pPr>
      <w:r>
        <w:rPr>
          <w:rFonts w:ascii="Times New Roman"/>
          <w:b w:val="false"/>
          <w:i w:val="false"/>
          <w:color w:val="000000"/>
          <w:sz w:val="28"/>
        </w:rPr>
        <w:t>
      Smartcity/ цифрландыру:</w:t>
      </w:r>
    </w:p>
    <w:p>
      <w:pPr>
        <w:spacing w:after="0"/>
        <w:ind w:left="0"/>
        <w:jc w:val="both"/>
      </w:pPr>
      <w:r>
        <w:rPr>
          <w:rFonts w:ascii="Times New Roman"/>
          <w:b w:val="false"/>
          <w:i w:val="false"/>
          <w:color w:val="000000"/>
          <w:sz w:val="28"/>
        </w:rPr>
        <w:t>
      ЭЫДҰ-ның инновациялар және технологиялар көрсеткіштері.</w:t>
      </w:r>
    </w:p>
    <w:p>
      <w:pPr>
        <w:spacing w:after="0"/>
        <w:ind w:left="0"/>
        <w:jc w:val="both"/>
      </w:pPr>
      <w:r>
        <w:rPr>
          <w:rFonts w:ascii="Times New Roman"/>
          <w:b w:val="false"/>
          <w:i w:val="false"/>
          <w:color w:val="000000"/>
          <w:sz w:val="28"/>
        </w:rPr>
        <w:t>
      Қаланы жоспарлау:</w:t>
      </w:r>
    </w:p>
    <w:p>
      <w:pPr>
        <w:spacing w:after="0"/>
        <w:ind w:left="0"/>
        <w:jc w:val="both"/>
      </w:pPr>
      <w:r>
        <w:rPr>
          <w:rFonts w:ascii="Times New Roman"/>
          <w:b w:val="false"/>
          <w:i w:val="false"/>
          <w:color w:val="000000"/>
          <w:sz w:val="28"/>
        </w:rPr>
        <w:t>
      халықтың қаланың даму жоспарларына қанағаттану деңгейі.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