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29cf" w14:textId="9042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банктердің және банк операцияларының жекелеген түрлерін жүзеге асыратын ұйымдардың үй-жайларын күзетуді және жайластыруды ұйымдастыру, банкноттарды, монеталарды және құндылықтарды есепке алу, сақтау, тасымалдау және инкассациялау мәселелері бойынша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31 қаңтардағы № 18 қаулысы. Қазақстан Республикасының Әділет министрлігінде 2019 жылғы 12 ақпанда № 18297 болып тіркелді. Күші жойылды - Қазақстан Республикасы Ұлттық Банкі Басқармасының 2022 жылғы 28 ақпандағы № 19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28.02.2022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нормативтік құқықтық актілерін жетілдіру мақсатында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Ұлттық Банкі Басқармасының 24.02.2020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29.11.2019 </w:t>
      </w:r>
      <w:r>
        <w:rPr>
          <w:rFonts w:ascii="Times New Roman"/>
          <w:b w:val="false"/>
          <w:i w:val="false"/>
          <w:color w:val="000000"/>
          <w:sz w:val="28"/>
        </w:rPr>
        <w:t>№ 231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6" w:id="1"/>
    <w:p>
      <w:pPr>
        <w:spacing w:after="0"/>
        <w:ind w:left="0"/>
        <w:jc w:val="both"/>
      </w:pPr>
      <w:r>
        <w:rPr>
          <w:rFonts w:ascii="Times New Roman"/>
          <w:b w:val="false"/>
          <w:i w:val="false"/>
          <w:color w:val="000000"/>
          <w:sz w:val="28"/>
        </w:rPr>
        <w:t>
      3. Қолма-қол ақшамен жұмыс жүргізу басқармасы (Әбішева Т.Т.)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Start w:name="z27" w:id="2"/>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
    <w:bookmarkStart w:name="z28" w:id="3"/>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3"/>
    <w:bookmarkStart w:name="z29" w:id="4"/>
    <w:p>
      <w:pPr>
        <w:spacing w:after="0"/>
        <w:ind w:left="0"/>
        <w:jc w:val="both"/>
      </w:pPr>
      <w:r>
        <w:rPr>
          <w:rFonts w:ascii="Times New Roman"/>
          <w:b w:val="false"/>
          <w:i w:val="false"/>
          <w:color w:val="000000"/>
          <w:sz w:val="28"/>
        </w:rPr>
        <w:t xml:space="preserve">
      6.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