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c0aff" w14:textId="88c0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жалпы пайдаланымдағы автомобиль жолдарын орташа жөндеуге арналған техникалық құжаттамаға ведомстволық сараптаманың ережесін бекіту туралы" Қазақстан Республикасы Көлік және коммуникация министрінің 2005 жылғы 31 қазандағы № 337-I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6 наурыздағы № 118 бұйрығы. Қазақстан Республикасының Әділет министрлігінде 2019 жылғы 12 наурызда № 18383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жалпы пайдаланымдағы автомобиль жолдарын орташа жөндеуге арналған техникалық құжаттамаға ведомстволық сараптаманың ережесін бекіту туралы" Қазақстан Республикасы Көлік және коммуникация министрінің 2005 жылғы 31 қазандағы № 337-I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3929 болып тіркелген, "Заң газетінің" 2005 жылғы 14 желтоқсандағы № 169 - 170 (796)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жалпы пайдаланымдағы автомобиль жолдарын орташа жөндеуге арналған техникалық құжаттамаға ведомстволық сараптаманың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Ведомстволық сараптама жүргізудің тәртібі";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Қолданыстағы жалпы пайдаланымдағы автомобиль жолдарын орташа жөндеуге арналған техникалық құжаттамаға ведомстволық сараптама (бұдан әрі – ведомстволық сараптама) – бұл Қазақстан Республикасы Индустрия және инфрақұрылымдық даму министрлігі Автомобиль жолдары комитетінің "Жол активтерінің сапасы ұлттық орталығы" шаруашылық жүргізу құқығындағы республикалық мемлекеттік кәсіпорын (бұдан әрі – Орталық) жалпы пайдаланымдағы автомобиль жолдарын орташа жөндеуге арналған техникалық құжаттамада қабылданатын шешімдердің негізділігі деңгейін арттыру мақсатында сараптау объектісіне талдау бағасын алу үшін жол саласы ұйымдарының өтінімі бойынша жүргізетін бағалау іс-қимылдары мен тұжырымдау жүйесі.";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"4. Ведомстволық сараптама жүргізу үшін Орталықтың мамандары қатарынан сараптау тобы құрылады.";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"5. Ведомстволық сараптама жүргізу үшін Орталыққа мынадай құжаттар беріледі:</w:t>
      </w:r>
    </w:p>
    <w:bookmarkEnd w:id="7"/>
    <w:p>
      <w:pPr>
        <w:spacing w:after="0"/>
        <w:ind w:left="0"/>
        <w:jc w:val="both"/>
      </w:pPr>
      <w:r>
        <w:rPr>
          <w:rFonts w:ascii="Times New Roman"/>
          <w:b w:val="false"/>
          <w:i w:val="false"/>
          <w:color w:val="000000"/>
          <w:sz w:val="28"/>
        </w:rPr>
        <w:t>
      1) ведомстволық сараптама жүргізуге арналған еркін нысандағы өтініш;</w:t>
      </w:r>
    </w:p>
    <w:p>
      <w:pPr>
        <w:spacing w:after="0"/>
        <w:ind w:left="0"/>
        <w:jc w:val="both"/>
      </w:pPr>
      <w:r>
        <w:rPr>
          <w:rFonts w:ascii="Times New Roman"/>
          <w:b w:val="false"/>
          <w:i w:val="false"/>
          <w:color w:val="000000"/>
          <w:sz w:val="28"/>
        </w:rPr>
        <w:t xml:space="preserve">
      2) техникалық құжаттама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"11. Сараптау тобының оң қорытындысын алған жағдайда, техникалық құжаттама автомобиль жолдары бойынша уәкілетті органға бекітуге ұсынылады, ұсынылған құжаттар нормативтік-техникалық құжаттардың талаптарына сәйкес келмеген жағдайда, сараптау тобы техникалық құжаттаманы себептерін көрсете отырып түзетуге қайтарады."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7" w:id="9"/>
    <w:p>
      <w:pPr>
        <w:spacing w:after="0"/>
        <w:ind w:left="0"/>
        <w:jc w:val="both"/>
      </w:pPr>
      <w:r>
        <w:rPr>
          <w:rFonts w:ascii="Times New Roman"/>
          <w:b w:val="false"/>
          <w:i w:val="false"/>
          <w:color w:val="000000"/>
          <w:sz w:val="28"/>
        </w:rPr>
        <w:t>
      "3-тарау. Қорытынды ережелер".</w:t>
      </w:r>
    </w:p>
    <w:bookmarkEnd w:id="9"/>
    <w:bookmarkStart w:name="z18"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2"/>
    <w:bookmarkStart w:name="z21" w:id="13"/>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