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2ca1" w14:textId="e562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наурыздағы № 129 бұйрығы. Қазақстан Республикасының Әділет министрлігінде 2019 жылғы 15 наурызда № 18394</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 Заңының </w:t>
      </w:r>
      <w:r>
        <w:rPr>
          <w:rFonts w:ascii="Times New Roman"/>
          <w:b w:val="false"/>
          <w:i w:val="false"/>
          <w:color w:val="000000"/>
          <w:sz w:val="28"/>
        </w:rPr>
        <w:t>15-1-бабының</w:t>
      </w:r>
      <w:r>
        <w:rPr>
          <w:rFonts w:ascii="Times New Roman"/>
          <w:b w:val="false"/>
          <w:i w:val="false"/>
          <w:color w:val="000000"/>
          <w:sz w:val="28"/>
        </w:rPr>
        <w:t xml:space="preserve"> 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12 наурыздағы </w:t>
            </w:r>
            <w:r>
              <w:br/>
            </w:r>
            <w:r>
              <w:rPr>
                <w:rFonts w:ascii="Times New Roman"/>
                <w:b w:val="false"/>
                <w:i w:val="false"/>
                <w:color w:val="000000"/>
                <w:sz w:val="20"/>
              </w:rPr>
              <w:t xml:space="preserve">№ 129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w:t>
      </w:r>
    </w:p>
    <w:bookmarkEnd w:id="8"/>
    <w:bookmarkStart w:name="z11" w:id="9"/>
    <w:p>
      <w:pPr>
        <w:spacing w:after="0"/>
        <w:ind w:left="0"/>
        <w:jc w:val="both"/>
      </w:pPr>
      <w:r>
        <w:rPr>
          <w:rFonts w:ascii="Times New Roman"/>
          <w:b w:val="false"/>
          <w:i w:val="false"/>
          <w:color w:val="000000"/>
          <w:sz w:val="28"/>
        </w:rPr>
        <w:t xml:space="preserve">
      1. Осы Көлік құралының паспортын (көлік құралы шассиінің паспортын) және өздігінен жүретін машинаның және техниканың басқа түрлерінің паспортын қорғау элементтеріне қойылатын талаптар "Жол жүрісі туралы" 2014 жылғы 17 сәуірдегі Қазақстан Республикасы Заңының </w:t>
      </w:r>
      <w:r>
        <w:rPr>
          <w:rFonts w:ascii="Times New Roman"/>
          <w:b w:val="false"/>
          <w:i w:val="false"/>
          <w:color w:val="000000"/>
          <w:sz w:val="28"/>
        </w:rPr>
        <w:t>15-1-бабының</w:t>
      </w:r>
      <w:r>
        <w:rPr>
          <w:rFonts w:ascii="Times New Roman"/>
          <w:b w:val="false"/>
          <w:i w:val="false"/>
          <w:color w:val="000000"/>
          <w:sz w:val="28"/>
        </w:rPr>
        <w:t xml:space="preserve"> 5) тармақшасына сәйкес және "Өздігінен жүретін машинаның және басқа да техника түрлерінің паспорты туралы" Еуразиялық экономикалық комиссия Алқасының 2015 жылғы 18 тамыздағы № 100 шешімін іске асыру үшін әзірленген.</w:t>
      </w:r>
    </w:p>
    <w:bookmarkEnd w:id="9"/>
    <w:bookmarkStart w:name="z12" w:id="10"/>
    <w:p>
      <w:pPr>
        <w:spacing w:after="0"/>
        <w:ind w:left="0"/>
        <w:jc w:val="both"/>
      </w:pPr>
      <w:r>
        <w:rPr>
          <w:rFonts w:ascii="Times New Roman"/>
          <w:b w:val="false"/>
          <w:i w:val="false"/>
          <w:color w:val="000000"/>
          <w:sz w:val="28"/>
        </w:rPr>
        <w:t>
      2. Өздігінен жүретін машинаның және басқа да техника түрлері паспортының бланкілері қатаң есептілік құжаты болып табылады, олар Еуразиялық экономикалық одаққа мүше мемлекеттерде (бұдан әрі – мүше мемлекеттер) А4 форматтағы (210 х 297 мм) ақ қағазда, түзетуден немесе сүртіп кетіруден қорғауды қамтамасыз ететін бояуды пайдалана отырып, мүше мемлекеттердің заңнамасында белгіленген бланкілердіқорғау дәрежесіне қойылатын талаптарға сәйкес баспаханалық тәсілмен дайындалады және кем дегенде 8 қорғау дәрежесі болады, соның ішінде:</w:t>
      </w:r>
    </w:p>
    <w:bookmarkEnd w:id="10"/>
    <w:bookmarkStart w:name="z13" w:id="11"/>
    <w:p>
      <w:pPr>
        <w:spacing w:after="0"/>
        <w:ind w:left="0"/>
        <w:jc w:val="both"/>
      </w:pPr>
      <w:r>
        <w:rPr>
          <w:rFonts w:ascii="Times New Roman"/>
          <w:b w:val="false"/>
          <w:i w:val="false"/>
          <w:color w:val="000000"/>
          <w:sz w:val="28"/>
        </w:rPr>
        <w:t>
      1) айқын кереғар түсті, сенімді түрде көзбен шолып бақылануы қамтамасыз етілетін 2 түсті ашық-көлеңкелі су белгісі;</w:t>
      </w:r>
    </w:p>
    <w:bookmarkEnd w:id="11"/>
    <w:bookmarkStart w:name="z14" w:id="12"/>
    <w:p>
      <w:pPr>
        <w:spacing w:after="0"/>
        <w:ind w:left="0"/>
        <w:jc w:val="both"/>
      </w:pPr>
      <w:r>
        <w:rPr>
          <w:rFonts w:ascii="Times New Roman"/>
          <w:b w:val="false"/>
          <w:i w:val="false"/>
          <w:color w:val="000000"/>
          <w:sz w:val="28"/>
        </w:rPr>
        <w:t>
      2) спектрдің көрінетін немесе өзге де салаларында бақыланатын талшықтың кем дегенде 2 түрі болады. Бұл ретте талшық түрінің бірін енгізудің басқа түрлерімен – конфеттимен, полимерлік жіптермен, капсулданған люминоформен ауыстыруға жол беріледі. Ультракүлгін сәуленің әсерімен көрінетін көгілдір түсті люминесценциясы бар арнайы талшықтарды қолдануға жол берілмейді;</w:t>
      </w:r>
    </w:p>
    <w:bookmarkEnd w:id="12"/>
    <w:bookmarkStart w:name="z15" w:id="13"/>
    <w:p>
      <w:pPr>
        <w:spacing w:after="0"/>
        <w:ind w:left="0"/>
        <w:jc w:val="both"/>
      </w:pPr>
      <w:r>
        <w:rPr>
          <w:rFonts w:ascii="Times New Roman"/>
          <w:b w:val="false"/>
          <w:i w:val="false"/>
          <w:color w:val="000000"/>
          <w:sz w:val="28"/>
        </w:rPr>
        <w:t>
      3) 2 түс аясындағы торды ауыспалы адымменжәне түрлі-түсті жіп тәрізді жаймалап салу;</w:t>
      </w:r>
    </w:p>
    <w:bookmarkEnd w:id="13"/>
    <w:bookmarkStart w:name="z16" w:id="14"/>
    <w:p>
      <w:pPr>
        <w:spacing w:after="0"/>
        <w:ind w:left="0"/>
        <w:jc w:val="both"/>
      </w:pPr>
      <w:r>
        <w:rPr>
          <w:rFonts w:ascii="Times New Roman"/>
          <w:b w:val="false"/>
          <w:i w:val="false"/>
          <w:color w:val="000000"/>
          <w:sz w:val="28"/>
        </w:rPr>
        <w:t>
      4) қарпінің биіктігі оң орындауда 150 -200 мкм, ал кері орындауда – 200 - 250 мкм микромәтін;</w:t>
      </w:r>
    </w:p>
    <w:bookmarkEnd w:id="14"/>
    <w:bookmarkStart w:name="z17" w:id="15"/>
    <w:p>
      <w:pPr>
        <w:spacing w:after="0"/>
        <w:ind w:left="0"/>
        <w:jc w:val="both"/>
      </w:pPr>
      <w:r>
        <w:rPr>
          <w:rFonts w:ascii="Times New Roman"/>
          <w:b w:val="false"/>
          <w:i w:val="false"/>
          <w:color w:val="000000"/>
          <w:sz w:val="28"/>
        </w:rPr>
        <w:t>
      5) бояумен басылған, көрінетін спектрде көрінбейтін және сары-жасыл түсті ультракүлгін сәуленің әсерімен люминесценцияланатын элемент;</w:t>
      </w:r>
    </w:p>
    <w:bookmarkEnd w:id="15"/>
    <w:bookmarkStart w:name="z18" w:id="16"/>
    <w:p>
      <w:pPr>
        <w:spacing w:after="0"/>
        <w:ind w:left="0"/>
        <w:jc w:val="both"/>
      </w:pPr>
      <w:r>
        <w:rPr>
          <w:rFonts w:ascii="Times New Roman"/>
          <w:b w:val="false"/>
          <w:i w:val="false"/>
          <w:color w:val="000000"/>
          <w:sz w:val="28"/>
        </w:rPr>
        <w:t>
      6) ксерокөшіруден қорғау элементі;</w:t>
      </w:r>
    </w:p>
    <w:bookmarkEnd w:id="16"/>
    <w:bookmarkStart w:name="z19" w:id="17"/>
    <w:p>
      <w:pPr>
        <w:spacing w:after="0"/>
        <w:ind w:left="0"/>
        <w:jc w:val="both"/>
      </w:pPr>
      <w:r>
        <w:rPr>
          <w:rFonts w:ascii="Times New Roman"/>
          <w:b w:val="false"/>
          <w:i w:val="false"/>
          <w:color w:val="000000"/>
          <w:sz w:val="28"/>
        </w:rPr>
        <w:t>
      7) ыстықтайбедерлеу әдісімен салынған микромәтіні бар голограмма;</w:t>
      </w:r>
    </w:p>
    <w:bookmarkEnd w:id="17"/>
    <w:bookmarkStart w:name="z20" w:id="18"/>
    <w:p>
      <w:pPr>
        <w:spacing w:after="0"/>
        <w:ind w:left="0"/>
        <w:jc w:val="both"/>
      </w:pPr>
      <w:r>
        <w:rPr>
          <w:rFonts w:ascii="Times New Roman"/>
          <w:b w:val="false"/>
          <w:i w:val="false"/>
          <w:color w:val="000000"/>
          <w:sz w:val="28"/>
        </w:rPr>
        <w:t>
      8) бланк сериясынан, елдің 2 әріптік кодынан (ISO 3166-1 (alpha) анықтамалығына сәйкес) және бланктің реттік нөмірінен (2 бас әріп және 6 араб цифры) тұратын баспаханалық нөмірі болады.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