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617e" w14:textId="ddd6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"Б" корпусының мемлекеттік әкімшілік қызметшілерінің жұмысын бағалау әдістемесін бекіту туралы" Қазақстан Республикасы Денсаулық сақтау және әлеуметтік даму министрінің 2016 жылғы 24 наурыздағы № 215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26 наурыздағы № 142 бұйрығы. Қазақстан Республикасының Әділет министрлігінде 2019 жылғы 2 сәуірде № 18452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министрлігінің "Б" корпусының мемлекеттік әкімшілік қызметшілерінің жұмысын бағалау әдістемесін бекіту туралы" Қазақстан Республикасы Денсаулық сақтау және әлеуметтік даму министрінің 2016 жылғы 24 наурыздағы № 215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13612 болып тіркелді, "Әділет" ақпараттық-құқықтық жүйесінде 2016 жылғы 28 сәуірде жарияланды)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Кадр қызметі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Еңбек және халықты әлеуметтік қорғау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министрлігінің жауапты хатшысы А.Д. Құрманғалиеваға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