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3ca1" w14:textId="17b3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ғарышкерлер жасағы туралы ережесін бекіту туралы" Қазақстан Республикасы Ұлттық ғарыш агенттігі төрағасының 2012 жылғы 6 сәуірдегі № 41/НҚ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28 наурыздағы № 18/НҚ бұйрығы. Қазақстан Республикасының Әділет министрлігінде 2019 жылғы 4 сәуірде № 18465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ғарышкерлер жасағы туралы ережесін бекіту туралы" Қазақстан Республикасы Ұлттық ғарыш агенттігі төрағасының 2012 жылғы 6 сәуірдегі № 41/НҚ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7575 болып тіркелген, 2012 жылғы 30 маусымда "Егемен Қазақстан" № 360-364 (27438)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Қазақстан Республикасының ғарышкерлер жасағы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Қазақстан Республикасының ғарышкерлер жасағының құрылымы";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"12. Ғарышкерлер жасағының құрылымы:</w:t>
      </w:r>
    </w:p>
    <w:bookmarkEnd w:id="5"/>
    <w:p>
      <w:pPr>
        <w:spacing w:after="0"/>
        <w:ind w:left="0"/>
        <w:jc w:val="both"/>
      </w:pPr>
      <w:r>
        <w:rPr>
          <w:rFonts w:ascii="Times New Roman"/>
          <w:b w:val="false"/>
          <w:i w:val="false"/>
          <w:color w:val="000000"/>
          <w:sz w:val="28"/>
        </w:rPr>
        <w:t>
      1) Ғарышкерлер жасағының бастығынан;</w:t>
      </w:r>
    </w:p>
    <w:p>
      <w:pPr>
        <w:spacing w:after="0"/>
        <w:ind w:left="0"/>
        <w:jc w:val="both"/>
      </w:pPr>
      <w:r>
        <w:rPr>
          <w:rFonts w:ascii="Times New Roman"/>
          <w:b w:val="false"/>
          <w:i w:val="false"/>
          <w:color w:val="000000"/>
          <w:sz w:val="28"/>
        </w:rPr>
        <w:t>
      2) Ғарышкерлер жасағы бастығының орынбасарынан;</w:t>
      </w:r>
    </w:p>
    <w:p>
      <w:pPr>
        <w:spacing w:after="0"/>
        <w:ind w:left="0"/>
        <w:jc w:val="both"/>
      </w:pPr>
      <w:r>
        <w:rPr>
          <w:rFonts w:ascii="Times New Roman"/>
          <w:b w:val="false"/>
          <w:i w:val="false"/>
          <w:color w:val="000000"/>
          <w:sz w:val="28"/>
        </w:rPr>
        <w:t>
      3) нұсқаушы ғарышкерден;</w:t>
      </w:r>
    </w:p>
    <w:p>
      <w:pPr>
        <w:spacing w:after="0"/>
        <w:ind w:left="0"/>
        <w:jc w:val="both"/>
      </w:pPr>
      <w:r>
        <w:rPr>
          <w:rFonts w:ascii="Times New Roman"/>
          <w:b w:val="false"/>
          <w:i w:val="false"/>
          <w:color w:val="000000"/>
          <w:sz w:val="28"/>
        </w:rPr>
        <w:t>
      4) сынаушы ғарышкерден;</w:t>
      </w:r>
    </w:p>
    <w:p>
      <w:pPr>
        <w:spacing w:after="0"/>
        <w:ind w:left="0"/>
        <w:jc w:val="both"/>
      </w:pPr>
      <w:r>
        <w:rPr>
          <w:rFonts w:ascii="Times New Roman"/>
          <w:b w:val="false"/>
          <w:i w:val="false"/>
          <w:color w:val="000000"/>
          <w:sz w:val="28"/>
        </w:rPr>
        <w:t>
      5) сынаушы ғарышкерден;</w:t>
      </w:r>
    </w:p>
    <w:p>
      <w:pPr>
        <w:spacing w:after="0"/>
        <w:ind w:left="0"/>
        <w:jc w:val="both"/>
      </w:pPr>
      <w:r>
        <w:rPr>
          <w:rFonts w:ascii="Times New Roman"/>
          <w:b w:val="false"/>
          <w:i w:val="false"/>
          <w:color w:val="000000"/>
          <w:sz w:val="28"/>
        </w:rPr>
        <w:t>
      6) зерттеуші ғарышкерден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Ғарышкерлер жасағының негізгі функциялары мен мақсаттары";</w:t>
      </w:r>
    </w:p>
    <w:bookmarkEnd w:id="6"/>
    <w:bookmarkStart w:name="z12" w:id="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"4) ұшқыш басқаратын ғарыштық ұшу нәтижелері бойынша есептік құжаттамалар әзірлеуге, ұшу нәтижелері бойынша қорытындыларды, дәйектемелерді, бағалауларды, ұсыныстар мен ұсынымдарды тұжырымдауға, сондай-ақ ұшқыш басқаратын ғарыштық ұшуларда орындалған эксперименттер, зерттеулер және қолданбалы жұмыстар нәтижелерін талдауға қатысу;";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5" w:id="9"/>
    <w:p>
      <w:pPr>
        <w:spacing w:after="0"/>
        <w:ind w:left="0"/>
        <w:jc w:val="both"/>
      </w:pPr>
      <w:r>
        <w:rPr>
          <w:rFonts w:ascii="Times New Roman"/>
          <w:b w:val="false"/>
          <w:i w:val="false"/>
          <w:color w:val="000000"/>
          <w:sz w:val="28"/>
        </w:rPr>
        <w:t xml:space="preserve">
      "5) борттық құжаттаманы эксперименттік жетілдіруіне қатысу;"; </w:t>
      </w:r>
    </w:p>
    <w:bookmarkEnd w:id="9"/>
    <w:bookmarkStart w:name="z16" w:id="1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"17) Қазақстан Республикасының ғарышкерлерін мемлекеттік медициналық мекемелерде дәрігерлік-сараптау комиссиясының жыл сайынғы медициналық куәландыруды ұйымдастыру;".</w:t>
      </w:r>
    </w:p>
    <w:bookmarkEnd w:id="11"/>
    <w:bookmarkStart w:name="z18" w:id="12"/>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Аэроғарыш комитеті Қазақстан Республикасының заңнамасында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0" w:id="1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4"/>
    <w:bookmarkStart w:name="z21" w:id="1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қорғаныс және аэроғарыш өнеркәсібі министрлігінің интернет-ресурсына орналастыруды;</w:t>
      </w:r>
    </w:p>
    <w:bookmarkEnd w:id="15"/>
    <w:bookmarkStart w:name="z22" w:id="1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Цифрлық даму, қорғаныс және аэроғарыш өнеркәсібі министрлігінің Заң департаментіне ұсынуды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17"/>
    <w:bookmarkStart w:name="z24" w:id="1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қорғаныс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