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d364" w14:textId="cc5d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тізбелерін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29 наурыздағы № 155 және Қазақстан Республикасының Индустрия және инфрақұрылымдық даму министрінің 2019 жылғы 1 сәуірдегі № 174 бірлескен бұйрығы. Қазақстан Республикасының Әділет министрлігінде 2019 жылғы 5 сәуірде № 18467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23.06.2022 № 217 және ҚР Премьер-Министрінің орынбасары - Сауда және интеграция министрінің 27.06.2022 № 271-НҚ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жатқызылатын өлшем </w:t>
      </w:r>
      <w:r>
        <w:rPr>
          <w:rFonts w:ascii="Times New Roman"/>
          <w:b w:val="false"/>
          <w:i w:val="false"/>
          <w:color w:val="000000"/>
          <w:sz w:val="28"/>
        </w:rPr>
        <w:t>тізбелері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2019 жылғы 29 наурыздағы </w:t>
            </w:r>
            <w:r>
              <w:br/>
            </w:r>
            <w:r>
              <w:rPr>
                <w:rFonts w:ascii="Times New Roman"/>
                <w:b w:val="false"/>
                <w:i w:val="false"/>
                <w:color w:val="000000"/>
                <w:sz w:val="20"/>
              </w:rPr>
              <w:t xml:space="preserve">№ 155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 сәуірдегі </w:t>
            </w:r>
            <w:r>
              <w:br/>
            </w:r>
            <w:r>
              <w:rPr>
                <w:rFonts w:ascii="Times New Roman"/>
                <w:b w:val="false"/>
                <w:i w:val="false"/>
                <w:color w:val="000000"/>
                <w:sz w:val="20"/>
              </w:rPr>
              <w:t xml:space="preserve">№ 174 бірлескен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реттеуге жатқызылатын өлшемдер мен оларға қойылатын метрологиялық талаптардың тізбелері</w:t>
      </w:r>
    </w:p>
    <w:bookmarkEnd w:id="9"/>
    <w:p>
      <w:pPr>
        <w:spacing w:after="0"/>
        <w:ind w:left="0"/>
        <w:jc w:val="both"/>
      </w:pPr>
      <w:r>
        <w:rPr>
          <w:rFonts w:ascii="Times New Roman"/>
          <w:b w:val="false"/>
          <w:i w:val="false"/>
          <w:color w:val="ff0000"/>
          <w:sz w:val="28"/>
        </w:rPr>
        <w:t xml:space="preserve">
      Ескерту. Тізбелер жаңа редакцияда – ҚР Еңбек және халықты әлеуметтік қорғау министрінің 23.06.2022 № 217 және ҚР Премьер-Министрінің орынбасары - Сауда және интеграция министрінің 27.06.2022 № 271-НҚ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Объектісі мен қолдану саласы көрсетілген өлшем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қателігі немесе дәлдік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 бойынша аттестаттауды жүргізу кезінде жүзеге асырылатын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w:t>
            </w:r>
            <w:r>
              <w:rPr>
                <w:rFonts w:ascii="Times New Roman"/>
                <w:b w:val="false"/>
                <w:i w:val="false"/>
                <w:color w:val="000000"/>
                <w:vertAlign w:val="superscript"/>
              </w:rPr>
              <w:t>о</w:t>
            </w:r>
            <w:r>
              <w:rPr>
                <w:rFonts w:ascii="Times New Roman"/>
                <w:b w:val="false"/>
                <w:i w:val="false"/>
                <w:color w:val="000000"/>
                <w:sz w:val="20"/>
              </w:rPr>
              <w:t>С -тан</w:t>
            </w:r>
          </w:p>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о</w:t>
            </w:r>
            <w:r>
              <w:rPr>
                <w:rFonts w:ascii="Times New Roman"/>
                <w:b w:val="false"/>
                <w:i w:val="false"/>
                <w:color w:val="000000"/>
                <w:sz w:val="20"/>
              </w:rPr>
              <w:t>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салыстырмалы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w:t>
            </w:r>
          </w:p>
          <w:p>
            <w:pPr>
              <w:spacing w:after="20"/>
              <w:ind w:left="20"/>
              <w:jc w:val="both"/>
            </w:pPr>
            <w:r>
              <w:rPr>
                <w:rFonts w:ascii="Times New Roman"/>
                <w:b w:val="false"/>
                <w:i w:val="false"/>
                <w:color w:val="000000"/>
                <w:sz w:val="20"/>
              </w:rPr>
              <w:t>
90 %-ға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w:t>
            </w:r>
          </w:p>
          <w:p>
            <w:pPr>
              <w:spacing w:after="20"/>
              <w:ind w:left="20"/>
              <w:jc w:val="both"/>
            </w:pPr>
            <w:r>
              <w:rPr>
                <w:rFonts w:ascii="Times New Roman"/>
                <w:b w:val="false"/>
                <w:i w:val="false"/>
                <w:color w:val="000000"/>
                <w:sz w:val="20"/>
              </w:rPr>
              <w:t>
1,0 м/с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+ 0,05 V)</w:t>
            </w:r>
          </w:p>
          <w:p>
            <w:pPr>
              <w:spacing w:after="20"/>
              <w:ind w:left="20"/>
              <w:jc w:val="both"/>
            </w:pPr>
            <w:r>
              <w:rPr>
                <w:rFonts w:ascii="Times New Roman"/>
                <w:b w:val="false"/>
                <w:i w:val="false"/>
                <w:color w:val="000000"/>
                <w:sz w:val="20"/>
              </w:rPr>
              <w:t>
мұнда V- жылдамдық мәні,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атмосфералық қысымды өлшеу кПа (мм сын.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w:t>
            </w:r>
          </w:p>
          <w:p>
            <w:pPr>
              <w:spacing w:after="20"/>
              <w:ind w:left="20"/>
              <w:jc w:val="both"/>
            </w:pPr>
            <w:r>
              <w:rPr>
                <w:rFonts w:ascii="Times New Roman"/>
                <w:b w:val="false"/>
                <w:i w:val="false"/>
                <w:color w:val="000000"/>
                <w:sz w:val="20"/>
              </w:rPr>
              <w:t>
825 мм сын. бағ.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мм сын.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Жерүстілердің орташа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r>
              <w:rPr>
                <w:rFonts w:ascii="Times New Roman"/>
                <w:b w:val="false"/>
                <w:i w:val="false"/>
                <w:color w:val="000000"/>
                <w:vertAlign w:val="superscript"/>
              </w:rPr>
              <w:t>о</w:t>
            </w:r>
            <w:r>
              <w:rPr>
                <w:rFonts w:ascii="Times New Roman"/>
                <w:b w:val="false"/>
                <w:i w:val="false"/>
                <w:color w:val="000000"/>
                <w:sz w:val="20"/>
              </w:rPr>
              <w:t>С -тан 85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сәулеленудің өлшенетін қарқындылық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1000 Вт/ 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 125; 250; 500; 1000; 2000; 4000; 8000 Гц. орташа геометриялық жиіліктері бар октандық жолақтарда дыбыс қысымының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баламалы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максималды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Инфрадыбыстың дыбыс қысымының жалпы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 орташа геометриялық жиіліктері бар октандық жолақтарда немесе 1,6; 2; 2,5; 3,15; 4; 5; 6,3; 8; 10; 12,5; 16; 20 Гц орташа геометриялық жиіліктері бар 1/3 октандық жолақтарда инфрадыбыс дыбыс қысымының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140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ультрадыбыс 12.5; 16; 20; 25; 31,5; 40; 50; 63; 80; 100 кГц орташа геометриялық жиіліктері бар 1/3 октандық жолақтарда дыбыс қысымының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120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өлшеу:</w:t>
            </w:r>
          </w:p>
          <w:p>
            <w:pPr>
              <w:spacing w:after="20"/>
              <w:ind w:left="20"/>
              <w:jc w:val="both"/>
            </w:pPr>
            <w:r>
              <w:rPr>
                <w:rFonts w:ascii="Times New Roman"/>
                <w:b w:val="false"/>
                <w:i w:val="false"/>
                <w:color w:val="000000"/>
                <w:sz w:val="20"/>
              </w:rPr>
              <w:t>
16-дан 63 кГц дейінгі төмен жиілікті ультадыбыс;</w:t>
            </w:r>
          </w:p>
          <w:p>
            <w:pPr>
              <w:spacing w:after="20"/>
              <w:ind w:left="20"/>
              <w:jc w:val="both"/>
            </w:pPr>
            <w:r>
              <w:rPr>
                <w:rFonts w:ascii="Times New Roman"/>
                <w:b w:val="false"/>
                <w:i w:val="false"/>
                <w:color w:val="000000"/>
                <w:sz w:val="20"/>
              </w:rPr>
              <w:t>
125-тен 500 кГц дейінгі орта жиілікті ультадыбыс;</w:t>
            </w:r>
          </w:p>
          <w:p>
            <w:pPr>
              <w:spacing w:after="20"/>
              <w:ind w:left="20"/>
              <w:jc w:val="both"/>
            </w:pPr>
            <w:r>
              <w:rPr>
                <w:rFonts w:ascii="Times New Roman"/>
                <w:b w:val="false"/>
                <w:i w:val="false"/>
                <w:color w:val="000000"/>
                <w:sz w:val="20"/>
              </w:rPr>
              <w:t>
1,0х103 – 31,5х103-ден жоғары жиілікті ультрадыбыс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дБ артық емес</w:t>
            </w:r>
          </w:p>
          <w:p>
            <w:pPr>
              <w:spacing w:after="20"/>
              <w:ind w:left="20"/>
              <w:jc w:val="both"/>
            </w:pPr>
            <w:r>
              <w:rPr>
                <w:rFonts w:ascii="Times New Roman"/>
                <w:b w:val="false"/>
                <w:i w:val="false"/>
                <w:color w:val="000000"/>
                <w:sz w:val="20"/>
              </w:rPr>
              <w:t>
105 дБ артық емес</w:t>
            </w:r>
          </w:p>
          <w:p>
            <w:pPr>
              <w:spacing w:after="20"/>
              <w:ind w:left="20"/>
              <w:jc w:val="both"/>
            </w:pPr>
            <w:r>
              <w:rPr>
                <w:rFonts w:ascii="Times New Roman"/>
                <w:b w:val="false"/>
                <w:i w:val="false"/>
                <w:color w:val="000000"/>
                <w:sz w:val="20"/>
              </w:rPr>
              <w:t>
110 дБ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вибрацияны бағалау кезінде 0,8; 1; 1,25; 1,6; 2,0; 2,5; 3,15; 4,0; 5,0; 6,3; 8,0; 10,0; 12,5; 16,0; 20,0; 25,0; 31,5; 40,0; 50,0; 63,0; 80,0 Гц орташа геометриялық жиіліктері бар жиіліктің октандық жолақтардағы вибрацияның орташа квадраттық мәндерін немесе логарифмдік деңгейлерді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150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вибрацияны бағалау кезінде: 8; 16; 31,5; 63; 125; 250; 500; 1000 Гц орташа геометриялық жиіліктері бар жиіліктің октандық жолақтардағы вибрацияның орташа квадраттық мәндерін немесе логарифмдік деңгейлерді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300 м/с2 дейін</w:t>
            </w:r>
          </w:p>
          <w:p>
            <w:pPr>
              <w:spacing w:after="20"/>
              <w:ind w:left="20"/>
              <w:jc w:val="both"/>
            </w:pPr>
            <w:r>
              <w:rPr>
                <w:rFonts w:ascii="Times New Roman"/>
                <w:b w:val="false"/>
                <w:i w:val="false"/>
                <w:color w:val="000000"/>
                <w:sz w:val="20"/>
              </w:rPr>
              <w:t>
100-ден 170 дБ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тұрақты емес вибрацияның (жалпы, жергілікті) жұмыс күнінің (ауысымның) кезінде қызметкерлерге ұшыраған кезде дБ-дағы түзетілген тербеліс жылдамдығы олардың жұмысының ұзақтығына байланысты өлшенеді немесе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Вибрацияны өлшеу - жалпы (вибрация жылдамдығының, вибрацияның баламалы түзетілген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80 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Адамға әсер ететін физикалық факторлардың гигиеналық нормативтері Қазақстан Республикасы Денсаулық сақтау министрінің 2022 жылғы 16 ақпандағы № ҚР ДСМ-15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26831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вибрацияны өлшеу (вибрация жылдамдығының, вибрация жеделдетушінің баламалы түзетілген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1250 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толқын ұзындығы ауқымдарында жұмыс орындарын аттестаттау кезінде лазерлік сәулеленудің энергетикалық экспозициясын өлшеу:</w:t>
            </w:r>
          </w:p>
          <w:p>
            <w:pPr>
              <w:spacing w:after="20"/>
              <w:ind w:left="20"/>
              <w:jc w:val="both"/>
            </w:pPr>
            <w:r>
              <w:rPr>
                <w:rFonts w:ascii="Times New Roman"/>
                <w:b w:val="false"/>
                <w:i w:val="false"/>
                <w:color w:val="000000"/>
                <w:sz w:val="20"/>
              </w:rPr>
              <w:t>
0,18-ден 0,38 мкм дейін</w:t>
            </w:r>
          </w:p>
          <w:p>
            <w:pPr>
              <w:spacing w:after="20"/>
              <w:ind w:left="20"/>
              <w:jc w:val="both"/>
            </w:pPr>
            <w:r>
              <w:rPr>
                <w:rFonts w:ascii="Times New Roman"/>
                <w:b w:val="false"/>
                <w:i w:val="false"/>
                <w:color w:val="000000"/>
                <w:sz w:val="20"/>
              </w:rPr>
              <w:t>
0,38-ден 1,4 мкм дейін</w:t>
            </w:r>
          </w:p>
          <w:p>
            <w:pPr>
              <w:spacing w:after="20"/>
              <w:ind w:left="20"/>
              <w:jc w:val="both"/>
            </w:pPr>
            <w:r>
              <w:rPr>
                <w:rFonts w:ascii="Times New Roman"/>
                <w:b w:val="false"/>
                <w:i w:val="false"/>
                <w:color w:val="000000"/>
                <w:sz w:val="20"/>
              </w:rPr>
              <w:t>
1,4-тен 20 мкм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-нан 1×104 Дж/м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1×10-4-нан 1 Дж/м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-нан 1×10-4 Дж/м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х 106</w:t>
            </w:r>
          </w:p>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0,5/1,0х104</w:t>
            </w:r>
          </w:p>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-ден 3х106 мкЗв.ч.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 (шаң), негізінен фиброгенді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r>
              <w:rPr>
                <w:rFonts w:ascii="Times New Roman"/>
                <w:b w:val="false"/>
                <w:i w:val="false"/>
                <w:color w:val="000000"/>
                <w:vertAlign w:val="superscript"/>
              </w:rPr>
              <w:t>-1</w:t>
            </w:r>
            <w:r>
              <w:rPr>
                <w:rFonts w:ascii="Times New Roman"/>
                <w:b w:val="false"/>
                <w:i w:val="false"/>
                <w:color w:val="000000"/>
                <w:sz w:val="20"/>
              </w:rPr>
              <w:t xml:space="preserve"> -тан дейін</w:t>
            </w:r>
          </w:p>
          <w:p>
            <w:pPr>
              <w:spacing w:after="20"/>
              <w:ind w:left="20"/>
              <w:jc w:val="both"/>
            </w:pPr>
            <w:r>
              <w:rPr>
                <w:rFonts w:ascii="Times New Roman"/>
                <w:b w:val="false"/>
                <w:i w:val="false"/>
                <w:color w:val="000000"/>
                <w:sz w:val="20"/>
              </w:rPr>
              <w:t>
10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бетінің жарықтандыруын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20000 дейін 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200000 дейін кд/м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Жарықтандырудың пульсация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100 %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(салыстырмалы)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Толқындардың толқын ұзындығындағы УК-ның қарқындылығын өлшеу (200-400)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тан 200 дейін Вт/м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 ауқымдарындағы энергетикалық жарықтандыруды өлшеу</w:t>
            </w:r>
          </w:p>
          <w:p>
            <w:pPr>
              <w:spacing w:after="20"/>
              <w:ind w:left="20"/>
              <w:jc w:val="both"/>
            </w:pPr>
            <w:r>
              <w:rPr>
                <w:rFonts w:ascii="Times New Roman"/>
                <w:b w:val="false"/>
                <w:i w:val="false"/>
                <w:color w:val="000000"/>
                <w:sz w:val="20"/>
              </w:rPr>
              <w:t>
УК - А (400-ден 315 нм дейін)</w:t>
            </w:r>
          </w:p>
          <w:p>
            <w:pPr>
              <w:spacing w:after="20"/>
              <w:ind w:left="20"/>
              <w:jc w:val="both"/>
            </w:pPr>
            <w:r>
              <w:rPr>
                <w:rFonts w:ascii="Times New Roman"/>
                <w:b w:val="false"/>
                <w:i w:val="false"/>
                <w:color w:val="000000"/>
                <w:sz w:val="20"/>
              </w:rPr>
              <w:t>
УК - В (315-тен 280 нм дейін)</w:t>
            </w:r>
          </w:p>
          <w:p>
            <w:pPr>
              <w:spacing w:after="20"/>
              <w:ind w:left="20"/>
              <w:jc w:val="both"/>
            </w:pPr>
            <w:r>
              <w:rPr>
                <w:rFonts w:ascii="Times New Roman"/>
                <w:b w:val="false"/>
                <w:i w:val="false"/>
                <w:color w:val="000000"/>
                <w:sz w:val="20"/>
              </w:rPr>
              <w:t>
УК - А (280-нен 200 нм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-нан 200 Вт/м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-нан 20 Вт/м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-нан 20 Вт/м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шоғырлануын өлшеу (табиғи және жасанды аэроиондау жағдайларында үй-жайлардың ауасындағы екі полярлықтың жеңіл аэроиондарын)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700 см</w:t>
            </w:r>
            <w:r>
              <w:rPr>
                <w:rFonts w:ascii="Times New Roman"/>
                <w:b w:val="false"/>
                <w:i w:val="false"/>
                <w:color w:val="000000"/>
                <w:vertAlign w:val="superscript"/>
              </w:rPr>
              <w:t>-3</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7×102 жоғары 1×106 см</w:t>
            </w:r>
            <w:r>
              <w:rPr>
                <w:rFonts w:ascii="Times New Roman"/>
                <w:b w:val="false"/>
                <w:i w:val="false"/>
                <w:color w:val="000000"/>
                <w:vertAlign w:val="superscript"/>
              </w:rPr>
              <w:t>3</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p>
            <w:pPr>
              <w:spacing w:after="20"/>
              <w:ind w:left="20"/>
              <w:jc w:val="both"/>
            </w:pPr>
            <w:r>
              <w:rPr>
                <w:rFonts w:ascii="Times New Roman"/>
                <w:b w:val="false"/>
                <w:i w:val="false"/>
                <w:color w:val="000000"/>
                <w:sz w:val="20"/>
              </w:rPr>
              <w:t>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зиянды заттардың жаппай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ШРЕК деңгейінде ілеспе компоненттердің қатысуымен зиянды заттардың шоғырлануын іріктеп өлшеу қамтамасыз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бір өлшеумен (бір рет іріктеуден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және ауылдық елді мекендердегі атмосфералық ауасының гигиеналық нормативтеріне сәйкес зиянды заттар тізбесі Қазақстан Республикасы Ұлттық экономика министрінің 2015 жылғы 28 ақпандағы № 168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11036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жарықтандыруды өлшеу (жылу сәулесінің қарқындылығын бағалау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 Вт/м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сәулелену қарқындылығы мен экспозициялық дозасын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500 кВ/м</w:t>
            </w:r>
            <w:r>
              <w:rPr>
                <w:rFonts w:ascii="Times New Roman"/>
                <w:b w:val="false"/>
                <w:i w:val="false"/>
                <w:color w:val="000000"/>
                <w:vertAlign w:val="superscript"/>
              </w:rPr>
              <w:t>2</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5-тен 2000 Вт/сағат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параметрлерін өлшеу (магниттік индукция)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 - ден 400 мА/м дейін</w:t>
            </w:r>
          </w:p>
          <w:p>
            <w:pPr>
              <w:spacing w:after="20"/>
              <w:ind w:left="20"/>
              <w:jc w:val="both"/>
            </w:pPr>
            <w:r>
              <w:rPr>
                <w:rFonts w:ascii="Times New Roman"/>
                <w:b w:val="false"/>
                <w:i w:val="false"/>
                <w:color w:val="000000"/>
                <w:sz w:val="20"/>
              </w:rPr>
              <w:t>
( 5 нТл - нан 500нТл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қарқындылығын өлшеу (өндірістік жиілігі 48-ден 52 Гц-ге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В / м-ден 50 кВ / 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квадраттық өлшем бірлігі магнит өрісінің күші (магниттық индукция)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мА/м - тен 4 кА/м- дейін (1 мкТл - тен 5 дейіе мТл)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жиілік ауқымдарында электр өрісінің кернеулігін өлшеу:</w:t>
            </w:r>
          </w:p>
          <w:p>
            <w:pPr>
              <w:spacing w:after="20"/>
              <w:ind w:left="20"/>
              <w:jc w:val="both"/>
            </w:pPr>
            <w:r>
              <w:rPr>
                <w:rFonts w:ascii="Times New Roman"/>
                <w:b w:val="false"/>
                <w:i w:val="false"/>
                <w:color w:val="000000"/>
                <w:sz w:val="20"/>
              </w:rPr>
              <w:t>
0,01-ден 0,03 МГц дейін</w:t>
            </w:r>
          </w:p>
          <w:p>
            <w:pPr>
              <w:spacing w:after="20"/>
              <w:ind w:left="20"/>
              <w:jc w:val="both"/>
            </w:pPr>
            <w:r>
              <w:rPr>
                <w:rFonts w:ascii="Times New Roman"/>
                <w:b w:val="false"/>
                <w:i w:val="false"/>
                <w:color w:val="000000"/>
                <w:sz w:val="20"/>
              </w:rPr>
              <w:t>
0,03-тен 3,00 МГц дейін</w:t>
            </w:r>
          </w:p>
          <w:p>
            <w:pPr>
              <w:spacing w:after="20"/>
              <w:ind w:left="20"/>
              <w:jc w:val="both"/>
            </w:pPr>
            <w:r>
              <w:rPr>
                <w:rFonts w:ascii="Times New Roman"/>
                <w:b w:val="false"/>
                <w:i w:val="false"/>
                <w:color w:val="000000"/>
                <w:sz w:val="20"/>
              </w:rPr>
              <w:t>
3-тен 30 МГц дейін</w:t>
            </w:r>
          </w:p>
          <w:p>
            <w:pPr>
              <w:spacing w:after="20"/>
              <w:ind w:left="20"/>
              <w:jc w:val="both"/>
            </w:pPr>
            <w:r>
              <w:rPr>
                <w:rFonts w:ascii="Times New Roman"/>
                <w:b w:val="false"/>
                <w:i w:val="false"/>
                <w:color w:val="000000"/>
                <w:sz w:val="20"/>
              </w:rPr>
              <w:t>
30-дан 50 МГц дейін</w:t>
            </w:r>
          </w:p>
          <w:p>
            <w:pPr>
              <w:spacing w:after="20"/>
              <w:ind w:left="20"/>
              <w:jc w:val="both"/>
            </w:pPr>
            <w:r>
              <w:rPr>
                <w:rFonts w:ascii="Times New Roman"/>
                <w:b w:val="false"/>
                <w:i w:val="false"/>
                <w:color w:val="000000"/>
                <w:sz w:val="20"/>
              </w:rPr>
              <w:t>
50-ден 300 МГц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5000 В/м дейін</w:t>
            </w:r>
          </w:p>
          <w:p>
            <w:pPr>
              <w:spacing w:after="20"/>
              <w:ind w:left="20"/>
              <w:jc w:val="both"/>
            </w:pPr>
            <w:r>
              <w:rPr>
                <w:rFonts w:ascii="Times New Roman"/>
                <w:b w:val="false"/>
                <w:i w:val="false"/>
                <w:color w:val="000000"/>
                <w:sz w:val="20"/>
              </w:rPr>
              <w:t>
5-тен 500 В/м дейін</w:t>
            </w:r>
          </w:p>
          <w:p>
            <w:pPr>
              <w:spacing w:after="20"/>
              <w:ind w:left="20"/>
              <w:jc w:val="both"/>
            </w:pPr>
            <w:r>
              <w:rPr>
                <w:rFonts w:ascii="Times New Roman"/>
                <w:b w:val="false"/>
                <w:i w:val="false"/>
                <w:color w:val="000000"/>
                <w:sz w:val="20"/>
              </w:rPr>
              <w:t>
3-тен 300 В/м дейін</w:t>
            </w:r>
          </w:p>
          <w:p>
            <w:pPr>
              <w:spacing w:after="20"/>
              <w:ind w:left="20"/>
              <w:jc w:val="both"/>
            </w:pPr>
            <w:r>
              <w:rPr>
                <w:rFonts w:ascii="Times New Roman"/>
                <w:b w:val="false"/>
                <w:i w:val="false"/>
                <w:color w:val="000000"/>
                <w:sz w:val="20"/>
              </w:rPr>
              <w:t>
1-ден 80 В/м дейін</w:t>
            </w:r>
          </w:p>
          <w:p>
            <w:pPr>
              <w:spacing w:after="20"/>
              <w:ind w:left="20"/>
              <w:jc w:val="both"/>
            </w:pPr>
            <w:r>
              <w:rPr>
                <w:rFonts w:ascii="Times New Roman"/>
                <w:b w:val="false"/>
                <w:i w:val="false"/>
                <w:color w:val="000000"/>
                <w:sz w:val="20"/>
              </w:rPr>
              <w:t>
1-ден 80 В/м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жиілік ауқымдарында магнит өрісінің кернеулігін өлшеу:</w:t>
            </w:r>
          </w:p>
          <w:p>
            <w:pPr>
              <w:spacing w:after="20"/>
              <w:ind w:left="20"/>
              <w:jc w:val="both"/>
            </w:pPr>
            <w:r>
              <w:rPr>
                <w:rFonts w:ascii="Times New Roman"/>
                <w:b w:val="false"/>
                <w:i w:val="false"/>
                <w:color w:val="000000"/>
                <w:sz w:val="20"/>
              </w:rPr>
              <w:t>
0,03-тен 3,00 МГц дейін</w:t>
            </w:r>
          </w:p>
          <w:p>
            <w:pPr>
              <w:spacing w:after="20"/>
              <w:ind w:left="20"/>
              <w:jc w:val="both"/>
            </w:pPr>
            <w:r>
              <w:rPr>
                <w:rFonts w:ascii="Times New Roman"/>
                <w:b w:val="false"/>
                <w:i w:val="false"/>
                <w:color w:val="000000"/>
                <w:sz w:val="20"/>
              </w:rPr>
              <w:t>
30-дан 50 МГц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50 А/м дейін</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-нан 3 А/м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300 кВ/м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 өрісінің кернеулігін өлшеу/тұрақты магнит өрісінің индукциясын өлшеу (оның ішінде геомагниттік өрістің әлсіреуін есептеу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200 мТл/ дейін</w:t>
            </w:r>
          </w:p>
          <w:p>
            <w:pPr>
              <w:spacing w:after="20"/>
              <w:ind w:left="20"/>
              <w:jc w:val="both"/>
            </w:pPr>
            <w:r>
              <w:rPr>
                <w:rFonts w:ascii="Times New Roman"/>
                <w:b w:val="false"/>
                <w:i w:val="false"/>
                <w:color w:val="000000"/>
                <w:sz w:val="20"/>
              </w:rPr>
              <w:t>
2,4-тен 160 кА/м дейін</w:t>
            </w:r>
          </w:p>
          <w:p>
            <w:pPr>
              <w:spacing w:after="20"/>
              <w:ind w:left="20"/>
              <w:jc w:val="both"/>
            </w:pPr>
            <w:r>
              <w:rPr>
                <w:rFonts w:ascii="Times New Roman"/>
                <w:b w:val="false"/>
                <w:i w:val="false"/>
                <w:color w:val="000000"/>
                <w:sz w:val="20"/>
              </w:rPr>
              <w:t>
(тұрақты магнит өрісі үшін)</w:t>
            </w:r>
          </w:p>
          <w:p>
            <w:pPr>
              <w:spacing w:after="20"/>
              <w:ind w:left="20"/>
              <w:jc w:val="both"/>
            </w:pPr>
            <w:r>
              <w:rPr>
                <w:rFonts w:ascii="Times New Roman"/>
                <w:b w:val="false"/>
                <w:i w:val="false"/>
                <w:color w:val="000000"/>
                <w:sz w:val="20"/>
              </w:rPr>
              <w:t>
0,375-тен 250 мк/Тл дейін/</w:t>
            </w:r>
          </w:p>
          <w:p>
            <w:pPr>
              <w:spacing w:after="20"/>
              <w:ind w:left="20"/>
              <w:jc w:val="both"/>
            </w:pPr>
            <w:r>
              <w:rPr>
                <w:rFonts w:ascii="Times New Roman"/>
                <w:b w:val="false"/>
                <w:i w:val="false"/>
                <w:color w:val="000000"/>
                <w:sz w:val="20"/>
              </w:rPr>
              <w:t>
0,3-тен 200 А/м дейін</w:t>
            </w:r>
          </w:p>
          <w:p>
            <w:pPr>
              <w:spacing w:after="20"/>
              <w:ind w:left="20"/>
              <w:jc w:val="both"/>
            </w:pPr>
            <w:r>
              <w:rPr>
                <w:rFonts w:ascii="Times New Roman"/>
                <w:b w:val="false"/>
                <w:i w:val="false"/>
                <w:color w:val="000000"/>
                <w:sz w:val="20"/>
              </w:rPr>
              <w:t>
(геомагниттік өріс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кернеулігін (немесе магнит индукциясын) өлшеу арнайы аспаптардың көмегімен жүргізіледі. Қандай да бір аспапты таңдау өлшенетін өрістің деңгейіне, жиілікке, орын мен өлшеу жүргізілетін мақсатқа байланысты. Алайда, барлық жағдайларда аспаптар өлшеу қателігін ±10% - дан асырмай қамтамасыз етіледі.</w:t>
            </w:r>
          </w:p>
        </w:tc>
      </w:tr>
    </w:tbl>
    <w:bookmarkStart w:name="z15" w:id="10"/>
    <w:p>
      <w:pPr>
        <w:spacing w:after="0"/>
        <w:ind w:left="0"/>
        <w:jc w:val="both"/>
      </w:pPr>
      <w:r>
        <w:rPr>
          <w:rFonts w:ascii="Times New Roman"/>
          <w:b w:val="false"/>
          <w:i w:val="false"/>
          <w:color w:val="000000"/>
          <w:sz w:val="28"/>
        </w:rPr>
        <w:t>
      Ескертпе: аббревиатуралардың толық жазылуы:</w:t>
      </w:r>
    </w:p>
    <w:bookmarkEnd w:id="10"/>
    <w:p>
      <w:pPr>
        <w:spacing w:after="0"/>
        <w:ind w:left="0"/>
        <w:jc w:val="both"/>
      </w:pPr>
      <w:r>
        <w:rPr>
          <w:rFonts w:ascii="Times New Roman"/>
          <w:b w:val="false"/>
          <w:i w:val="false"/>
          <w:color w:val="000000"/>
          <w:sz w:val="28"/>
        </w:rPr>
        <w:t>
      А/м – ампер метрге;</w:t>
      </w:r>
    </w:p>
    <w:p>
      <w:pPr>
        <w:spacing w:after="0"/>
        <w:ind w:left="0"/>
        <w:jc w:val="both"/>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 беккерель метр куб дәрежесіндегі;</w:t>
      </w:r>
    </w:p>
    <w:p>
      <w:pPr>
        <w:spacing w:after="0"/>
        <w:ind w:left="0"/>
        <w:jc w:val="both"/>
      </w:pPr>
      <w:r>
        <w:rPr>
          <w:rFonts w:ascii="Times New Roman"/>
          <w:b w:val="false"/>
          <w:i w:val="false"/>
          <w:color w:val="000000"/>
          <w:sz w:val="28"/>
        </w:rPr>
        <w:t>
      В/м – вольт метрге;</w:t>
      </w:r>
    </w:p>
    <w:p>
      <w:pPr>
        <w:spacing w:after="0"/>
        <w:ind w:left="0"/>
        <w:jc w:val="both"/>
      </w:pPr>
      <w:r>
        <w:rPr>
          <w:rFonts w:ascii="Times New Roman"/>
          <w:b w:val="false"/>
          <w:i w:val="false"/>
          <w:color w:val="000000"/>
          <w:sz w:val="28"/>
        </w:rPr>
        <w:t>
      Вт/м – ватт метрдегі;</w:t>
      </w:r>
    </w:p>
    <w:p>
      <w:pPr>
        <w:spacing w:after="0"/>
        <w:ind w:left="0"/>
        <w:jc w:val="both"/>
      </w:pPr>
      <w:r>
        <w:rPr>
          <w:rFonts w:ascii="Times New Roman"/>
          <w:b w:val="false"/>
          <w:i w:val="false"/>
          <w:color w:val="000000"/>
          <w:sz w:val="28"/>
        </w:rPr>
        <w:t>
      Вт/м² –ватт шаршы метрдегі;</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Дж/м² – джоуль шаршы метрдегі;</w:t>
      </w:r>
    </w:p>
    <w:p>
      <w:pPr>
        <w:spacing w:after="0"/>
        <w:ind w:left="0"/>
        <w:jc w:val="both"/>
      </w:pPr>
      <w:r>
        <w:rPr>
          <w:rFonts w:ascii="Times New Roman"/>
          <w:b w:val="false"/>
          <w:i w:val="false"/>
          <w:color w:val="000000"/>
          <w:sz w:val="28"/>
        </w:rPr>
        <w:t>
      кА/м – килоампер метрге;</w:t>
      </w:r>
    </w:p>
    <w:p>
      <w:pPr>
        <w:spacing w:after="0"/>
        <w:ind w:left="0"/>
        <w:jc w:val="both"/>
      </w:pPr>
      <w:r>
        <w:rPr>
          <w:rFonts w:ascii="Times New Roman"/>
          <w:b w:val="false"/>
          <w:i w:val="false"/>
          <w:color w:val="000000"/>
          <w:sz w:val="28"/>
        </w:rPr>
        <w:t>
      кВ/м – киловольт метрге;</w:t>
      </w:r>
    </w:p>
    <w:p>
      <w:pPr>
        <w:spacing w:after="0"/>
        <w:ind w:left="0"/>
        <w:jc w:val="both"/>
      </w:pPr>
      <w:r>
        <w:rPr>
          <w:rFonts w:ascii="Times New Roman"/>
          <w:b w:val="false"/>
          <w:i w:val="false"/>
          <w:color w:val="000000"/>
          <w:sz w:val="28"/>
        </w:rPr>
        <w:t>
      кВ/м² – киловольт шаршы метрдегі;</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кд/м</w:t>
      </w:r>
      <w:r>
        <w:rPr>
          <w:rFonts w:ascii="Times New Roman"/>
          <w:b w:val="false"/>
          <w:i w:val="false"/>
          <w:color w:val="000000"/>
          <w:vertAlign w:val="superscript"/>
        </w:rPr>
        <w:t>2</w:t>
      </w:r>
      <w:r>
        <w:rPr>
          <w:rFonts w:ascii="Times New Roman"/>
          <w:b w:val="false"/>
          <w:i w:val="false"/>
          <w:color w:val="000000"/>
          <w:sz w:val="28"/>
        </w:rPr>
        <w:t xml:space="preserve"> – кандел шаршы метрдегі;</w:t>
      </w:r>
    </w:p>
    <w:p>
      <w:pPr>
        <w:spacing w:after="0"/>
        <w:ind w:left="0"/>
        <w:jc w:val="both"/>
      </w:pPr>
      <w:r>
        <w:rPr>
          <w:rFonts w:ascii="Times New Roman"/>
          <w:b w:val="false"/>
          <w:i w:val="false"/>
          <w:color w:val="000000"/>
          <w:sz w:val="28"/>
        </w:rPr>
        <w:t>
      лк – люкс;</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мА/м – миллиампер метрдегі;</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 xml:space="preserve"> – миллиграмм дәрежесіндегі метр куб;</w:t>
      </w:r>
    </w:p>
    <w:p>
      <w:pPr>
        <w:spacing w:after="0"/>
        <w:ind w:left="0"/>
        <w:jc w:val="both"/>
      </w:pPr>
      <w:r>
        <w:rPr>
          <w:rFonts w:ascii="Times New Roman"/>
          <w:b w:val="false"/>
          <w:i w:val="false"/>
          <w:color w:val="000000"/>
          <w:sz w:val="28"/>
        </w:rPr>
        <w:t>
      мкЗв/ч –микрозиверт сағатына;</w:t>
      </w:r>
    </w:p>
    <w:p>
      <w:pPr>
        <w:spacing w:after="0"/>
        <w:ind w:left="0"/>
        <w:jc w:val="both"/>
      </w:pPr>
      <w:r>
        <w:rPr>
          <w:rFonts w:ascii="Times New Roman"/>
          <w:b w:val="false"/>
          <w:i w:val="false"/>
          <w:color w:val="000000"/>
          <w:sz w:val="28"/>
        </w:rPr>
        <w:t>
      мкм – микрон;</w:t>
      </w:r>
    </w:p>
    <w:p>
      <w:pPr>
        <w:spacing w:after="0"/>
        <w:ind w:left="0"/>
        <w:jc w:val="both"/>
      </w:pPr>
      <w:r>
        <w:rPr>
          <w:rFonts w:ascii="Times New Roman"/>
          <w:b w:val="false"/>
          <w:i w:val="false"/>
          <w:color w:val="000000"/>
          <w:sz w:val="28"/>
        </w:rPr>
        <w:t>
      мТл – миллитесла;</w:t>
      </w:r>
    </w:p>
    <w:p>
      <w:pPr>
        <w:spacing w:after="0"/>
        <w:ind w:left="0"/>
        <w:jc w:val="both"/>
      </w:pPr>
      <w:r>
        <w:rPr>
          <w:rFonts w:ascii="Times New Roman"/>
          <w:b w:val="false"/>
          <w:i w:val="false"/>
          <w:color w:val="000000"/>
          <w:sz w:val="28"/>
        </w:rPr>
        <w:t>
      мкТл – микротесла</w:t>
      </w:r>
    </w:p>
    <w:p>
      <w:pPr>
        <w:spacing w:after="0"/>
        <w:ind w:left="0"/>
        <w:jc w:val="both"/>
      </w:pPr>
      <w:r>
        <w:rPr>
          <w:rFonts w:ascii="Times New Roman"/>
          <w:b w:val="false"/>
          <w:i w:val="false"/>
          <w:color w:val="000000"/>
          <w:sz w:val="28"/>
        </w:rPr>
        <w:t>
      мм.сп.бы – миллиметр сынап бағанасы;</w:t>
      </w:r>
    </w:p>
    <w:p>
      <w:pPr>
        <w:spacing w:after="0"/>
        <w:ind w:left="0"/>
        <w:jc w:val="both"/>
      </w:pPr>
      <w:r>
        <w:rPr>
          <w:rFonts w:ascii="Times New Roman"/>
          <w:b w:val="false"/>
          <w:i w:val="false"/>
          <w:color w:val="000000"/>
          <w:sz w:val="28"/>
        </w:rPr>
        <w:t>
      нТл – нанотесла;</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РЕШ – рұқсат етілген шоғырлану;</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см</w:t>
      </w:r>
      <w:r>
        <w:rPr>
          <w:rFonts w:ascii="Times New Roman"/>
          <w:b w:val="false"/>
          <w:i w:val="false"/>
          <w:color w:val="000000"/>
          <w:vertAlign w:val="superscript"/>
        </w:rPr>
        <w:t>3</w:t>
      </w:r>
      <w:r>
        <w:rPr>
          <w:rFonts w:ascii="Times New Roman"/>
          <w:b w:val="false"/>
          <w:i w:val="false"/>
          <w:color w:val="000000"/>
          <w:sz w:val="28"/>
        </w:rPr>
        <w:t xml:space="preserve"> – куб дәрежесіндегі сантиметр;</w:t>
      </w:r>
    </w:p>
    <w:p>
      <w:pPr>
        <w:spacing w:after="0"/>
        <w:ind w:left="0"/>
        <w:jc w:val="both"/>
      </w:pPr>
      <w:r>
        <w:rPr>
          <w:rFonts w:ascii="Times New Roman"/>
          <w:b w:val="false"/>
          <w:i w:val="false"/>
          <w:color w:val="000000"/>
          <w:sz w:val="28"/>
        </w:rPr>
        <w:t>
      УК – ультракүлгін;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С – цельсия дәрежесі;</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V – жылдамдық мөлшерін өлшеу.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