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ca34e" w14:textId="50ca3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HLA-зертханасы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8 сәуірдегі № ҚР ДСМ-21 бұйрығы. Қазақстан Республикасының Әділет министрлігінде 2019 жылғы 9 сәуірде № 18479 болып тіркелді. Күші жойылды - Қазақстан Республикасы Денсаулық сақтау министрінің м.а. 2020 жылғы 27 қазандағы № ҚР ДСМ-159/2020 бұйрығымен.</w:t>
      </w:r>
    </w:p>
    <w:p>
      <w:pPr>
        <w:spacing w:after="0"/>
        <w:ind w:left="0"/>
        <w:jc w:val="both"/>
      </w:pPr>
      <w:bookmarkStart w:name="z9" w:id="0"/>
      <w:r>
        <w:rPr>
          <w:rFonts w:ascii="Times New Roman"/>
          <w:b w:val="false"/>
          <w:i w:val="false"/>
          <w:color w:val="ff0000"/>
          <w:sz w:val="28"/>
        </w:rPr>
        <w:t xml:space="preserve">
      Ескерту. Күші жойылды – ҚР Денсаулық сақтау министрінің м.а. 27.10.2020 </w:t>
      </w:r>
      <w:r>
        <w:rPr>
          <w:rFonts w:ascii="Times New Roman"/>
          <w:b w:val="false"/>
          <w:i w:val="false"/>
          <w:color w:val="ff0000"/>
          <w:sz w:val="28"/>
        </w:rPr>
        <w:t>№ ҚР ДСМ-159/2020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169-бабының </w:t>
      </w:r>
      <w:r>
        <w:rPr>
          <w:rFonts w:ascii="Times New Roman"/>
          <w:b w:val="false"/>
          <w:i w:val="false"/>
          <w:color w:val="000000"/>
          <w:sz w:val="28"/>
        </w:rPr>
        <w:t>13-тармағына</w:t>
      </w:r>
      <w:r>
        <w:rPr>
          <w:rFonts w:ascii="Times New Roman"/>
          <w:b w:val="false"/>
          <w:i w:val="false"/>
          <w:color w:val="000000"/>
          <w:sz w:val="28"/>
        </w:rPr>
        <w:t xml:space="preserve"> сәйкес БҰЙЫРАМЫН:</w:t>
      </w:r>
    </w:p>
    <w:bookmarkEnd w:id="1"/>
    <w:bookmarkStart w:name="z2" w:id="2"/>
    <w:p>
      <w:pPr>
        <w:spacing w:after="0"/>
        <w:ind w:left="0"/>
        <w:jc w:val="both"/>
      </w:pPr>
      <w:r>
        <w:rPr>
          <w:rFonts w:ascii="Times New Roman"/>
          <w:b w:val="false"/>
          <w:i w:val="false"/>
          <w:color w:val="000000"/>
          <w:sz w:val="28"/>
        </w:rPr>
        <w:t xml:space="preserve">
      1. Қоса беріліп отырған HLA-зертханасы туралы </w:t>
      </w:r>
      <w:r>
        <w:rPr>
          <w:rFonts w:ascii="Times New Roman"/>
          <w:b w:val="false"/>
          <w:i w:val="false"/>
          <w:color w:val="000000"/>
          <w:sz w:val="28"/>
        </w:rPr>
        <w:t>ереже бекітілсін</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2. Қазақстан Республикасы Денсаулық сақтау министрлiгінің Медициналық көмекті ұйымдастыру департаменті заңнамада белгіленген тәртіппен:</w:t>
      </w:r>
    </w:p>
    <w:bookmarkEnd w:id="3"/>
    <w:bookmarkStart w:name="z4"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5" w:id="5"/>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күннің ішінде қазақ және орыс тілдеріндегі қағаз және электрондық түрдегі оның көшірмесін Қазақстан Республикасы нормативтік құқықтық актілерінің Эталондық бақылау банкінде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6" w:id="6"/>
    <w:p>
      <w:pPr>
        <w:spacing w:after="0"/>
        <w:ind w:left="0"/>
        <w:jc w:val="both"/>
      </w:pPr>
      <w:r>
        <w:rPr>
          <w:rFonts w:ascii="Times New Roman"/>
          <w:b w:val="false"/>
          <w:i w:val="false"/>
          <w:color w:val="000000"/>
          <w:sz w:val="28"/>
        </w:rPr>
        <w:t>
      3) осы бұйрықты ресми жариялағаннан кейін Қазақстан Республикасы Денсаулық сақтау министрлігінің интернет-ресурсына орналастыруды;</w:t>
      </w:r>
    </w:p>
    <w:bookmarkEnd w:id="6"/>
    <w:bookmarkStart w:name="z7" w:id="7"/>
    <w:p>
      <w:pPr>
        <w:spacing w:after="0"/>
        <w:ind w:left="0"/>
        <w:jc w:val="both"/>
      </w:pPr>
      <w:r>
        <w:rPr>
          <w:rFonts w:ascii="Times New Roman"/>
          <w:b w:val="false"/>
          <w:i w:val="false"/>
          <w:color w:val="000000"/>
          <w:sz w:val="28"/>
        </w:rPr>
        <w:t>
      4)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мәліметті ұсынуды қамтамасыз етсін.</w:t>
      </w:r>
    </w:p>
    <w:bookmarkEnd w:id="7"/>
    <w:bookmarkStart w:name="z8" w:id="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 Ақтаеваға жүктелсін.</w:t>
      </w:r>
    </w:p>
    <w:bookmarkEnd w:id="8"/>
    <w:bookmarkStart w:name="z9"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8 сәуірдегі</w:t>
            </w:r>
            <w:r>
              <w:br/>
            </w:r>
            <w:r>
              <w:rPr>
                <w:rFonts w:ascii="Times New Roman"/>
                <w:b w:val="false"/>
                <w:i w:val="false"/>
                <w:color w:val="000000"/>
                <w:sz w:val="20"/>
              </w:rPr>
              <w:t>№ ҚР ДСМ-21</w:t>
            </w:r>
            <w:r>
              <w:br/>
            </w:r>
            <w:r>
              <w:rPr>
                <w:rFonts w:ascii="Times New Roman"/>
                <w:b w:val="false"/>
                <w:i w:val="false"/>
                <w:color w:val="000000"/>
                <w:sz w:val="20"/>
              </w:rPr>
              <w:t>бұйрығымен бекітілді</w:t>
            </w:r>
          </w:p>
        </w:tc>
      </w:tr>
    </w:tbl>
    <w:bookmarkStart w:name="z11" w:id="10"/>
    <w:p>
      <w:pPr>
        <w:spacing w:after="0"/>
        <w:ind w:left="0"/>
        <w:jc w:val="left"/>
      </w:pPr>
      <w:r>
        <w:rPr>
          <w:rFonts w:ascii="Times New Roman"/>
          <w:b/>
          <w:i w:val="false"/>
          <w:color w:val="000000"/>
        </w:rPr>
        <w:t xml:space="preserve"> HLA-зертханасы туралы ереже</w:t>
      </w:r>
    </w:p>
    <w:bookmarkEnd w:id="10"/>
    <w:bookmarkStart w:name="z12" w:id="11"/>
    <w:p>
      <w:pPr>
        <w:spacing w:after="0"/>
        <w:ind w:left="0"/>
        <w:jc w:val="left"/>
      </w:pPr>
      <w:r>
        <w:rPr>
          <w:rFonts w:ascii="Times New Roman"/>
          <w:b/>
          <w:i w:val="false"/>
          <w:color w:val="000000"/>
        </w:rPr>
        <w:t xml:space="preserve"> 1-тарау. Жалпы ережелер</w:t>
      </w:r>
    </w:p>
    <w:bookmarkEnd w:id="11"/>
    <w:bookmarkStart w:name="z13" w:id="12"/>
    <w:p>
      <w:pPr>
        <w:spacing w:after="0"/>
        <w:ind w:left="0"/>
        <w:jc w:val="both"/>
      </w:pPr>
      <w:r>
        <w:rPr>
          <w:rFonts w:ascii="Times New Roman"/>
          <w:b w:val="false"/>
          <w:i w:val="false"/>
          <w:color w:val="000000"/>
          <w:sz w:val="28"/>
        </w:rPr>
        <w:t>
      1. Осы Ереже Қазақстан Республикасында гемопоэздік дің жасушаларын қоса алғанда, тіндерді (тіндердің бөліктерін) және (немесе) ағзаларды (ағзалардың бөліктерін) транспланттауды иммунологиялық сүйемелдеуді жүзеге асыратын зертханалардың қызметін реттейді.</w:t>
      </w:r>
    </w:p>
    <w:bookmarkEnd w:id="12"/>
    <w:bookmarkStart w:name="z14" w:id="13"/>
    <w:p>
      <w:pPr>
        <w:spacing w:after="0"/>
        <w:ind w:left="0"/>
        <w:jc w:val="both"/>
      </w:pPr>
      <w:r>
        <w:rPr>
          <w:rFonts w:ascii="Times New Roman"/>
          <w:b w:val="false"/>
          <w:i w:val="false"/>
          <w:color w:val="000000"/>
          <w:sz w:val="28"/>
        </w:rPr>
        <w:t>
      2. HLA-зертханалары донорлық, қанды, оның компоненттері мен препараттарын дайындау саласындағы қызметті жүзеге асыратын ұйымдардың жанындағы құрылымдық бөлімше ретінде жұмыс істейді.</w:t>
      </w:r>
    </w:p>
    <w:bookmarkEnd w:id="13"/>
    <w:bookmarkStart w:name="z15" w:id="14"/>
    <w:p>
      <w:pPr>
        <w:spacing w:after="0"/>
        <w:ind w:left="0"/>
        <w:jc w:val="both"/>
      </w:pPr>
      <w:r>
        <w:rPr>
          <w:rFonts w:ascii="Times New Roman"/>
          <w:b w:val="false"/>
          <w:i w:val="false"/>
          <w:color w:val="000000"/>
          <w:sz w:val="28"/>
        </w:rPr>
        <w:t>
      3. HLA-зертханаларына:</w:t>
      </w:r>
    </w:p>
    <w:bookmarkEnd w:id="14"/>
    <w:bookmarkStart w:name="z16" w:id="15"/>
    <w:p>
      <w:pPr>
        <w:spacing w:after="0"/>
        <w:ind w:left="0"/>
        <w:jc w:val="both"/>
      </w:pPr>
      <w:r>
        <w:rPr>
          <w:rFonts w:ascii="Times New Roman"/>
          <w:b w:val="false"/>
          <w:i w:val="false"/>
          <w:color w:val="000000"/>
          <w:sz w:val="28"/>
        </w:rPr>
        <w:t>
      1) Қазақстан Республикасы Денсаулық сақтау министрлігіне ведомстволық бағынысты Трансфузиология ғылыми-өндірістік орталығының жанынан құрылған Тіндерді (тіндердің бөліктерін) және (немесе) ағзаларды (ағзалардың бөліктерін) иммунологиялық типтеудің орталық зертханасы (бұдан әрі – Орталық зертхана);</w:t>
      </w:r>
    </w:p>
    <w:bookmarkEnd w:id="15"/>
    <w:bookmarkStart w:name="z17" w:id="16"/>
    <w:p>
      <w:pPr>
        <w:spacing w:after="0"/>
        <w:ind w:left="0"/>
        <w:jc w:val="both"/>
      </w:pPr>
      <w:r>
        <w:rPr>
          <w:rFonts w:ascii="Times New Roman"/>
          <w:b w:val="false"/>
          <w:i w:val="false"/>
          <w:color w:val="000000"/>
          <w:sz w:val="28"/>
        </w:rPr>
        <w:t>
      2) Республикалық қан орталығының, Ақтөбе, Шығыс Қазақстан облыстық қан орталықтарының, Шымкент қалалық қан орталығының жанынан құрылатын Тіндерді (тіндердің бөліктерін) және (немесе) ағзаларды (ағзалардың бөліктерін) иммунологиялық типтеудің жергілікті зертханасы (бұдан әрі – жергілікті зертхана) жатады.</w:t>
      </w:r>
    </w:p>
    <w:bookmarkEnd w:id="16"/>
    <w:bookmarkStart w:name="z18" w:id="17"/>
    <w:p>
      <w:pPr>
        <w:spacing w:after="0"/>
        <w:ind w:left="0"/>
        <w:jc w:val="both"/>
      </w:pPr>
      <w:r>
        <w:rPr>
          <w:rFonts w:ascii="Times New Roman"/>
          <w:b w:val="false"/>
          <w:i w:val="false"/>
          <w:color w:val="000000"/>
          <w:sz w:val="28"/>
        </w:rPr>
        <w:t>
      4. HLA-зертханасы өз жұмысында Қазақстан Республикасының Конституциясын, "Халық денсаулығы және денсаулық сақтау жүйесі туралы" Қазақстан Республикасының кодексін, осы ережені, тіндерді (тіндердің бөліктерін) және (немесе) ағзаларды (ағзалардың бөліктерін) транспланттауда донорлар мен реципиенттерді иммунологиялық тексеріп-қарау мәселелерін реттейтін Қазақстан Республикасы Денсаулық сақтау министрінің бұйрықтарын басшылыққа алады.</w:t>
      </w:r>
    </w:p>
    <w:bookmarkEnd w:id="17"/>
    <w:bookmarkStart w:name="z19" w:id="18"/>
    <w:p>
      <w:pPr>
        <w:spacing w:after="0"/>
        <w:ind w:left="0"/>
        <w:jc w:val="both"/>
      </w:pPr>
      <w:r>
        <w:rPr>
          <w:rFonts w:ascii="Times New Roman"/>
          <w:b w:val="false"/>
          <w:i w:val="false"/>
          <w:color w:val="000000"/>
          <w:sz w:val="28"/>
        </w:rPr>
        <w:t>
      5. HLA-зертханасы тіндерді (тіндердің бөліктерін) және (немесе) ағзаларды (ағзалардың бөліктерін) транспланттау кезінде тәуліктік режимде донорлар мен реципиенттерді иммунологиялық тексеріп-қарау мәселелері жөніндегі қызметті жүзеге асырады.</w:t>
      </w:r>
    </w:p>
    <w:bookmarkEnd w:id="18"/>
    <w:bookmarkStart w:name="z20" w:id="19"/>
    <w:p>
      <w:pPr>
        <w:spacing w:after="0"/>
        <w:ind w:left="0"/>
        <w:jc w:val="left"/>
      </w:pPr>
      <w:r>
        <w:rPr>
          <w:rFonts w:ascii="Times New Roman"/>
          <w:b/>
          <w:i w:val="false"/>
          <w:color w:val="000000"/>
        </w:rPr>
        <w:t xml:space="preserve"> 2-тарау. HLA-зертханасының міндеттері</w:t>
      </w:r>
    </w:p>
    <w:bookmarkEnd w:id="19"/>
    <w:bookmarkStart w:name="z21" w:id="20"/>
    <w:p>
      <w:pPr>
        <w:spacing w:after="0"/>
        <w:ind w:left="0"/>
        <w:jc w:val="both"/>
      </w:pPr>
      <w:r>
        <w:rPr>
          <w:rFonts w:ascii="Times New Roman"/>
          <w:b w:val="false"/>
          <w:i w:val="false"/>
          <w:color w:val="000000"/>
          <w:sz w:val="28"/>
        </w:rPr>
        <w:t>
      6. Мыналар HLА-зертханасының негізгі міндеттері болып табылады:</w:t>
      </w:r>
    </w:p>
    <w:bookmarkEnd w:id="20"/>
    <w:bookmarkStart w:name="z22" w:id="21"/>
    <w:p>
      <w:pPr>
        <w:spacing w:after="0"/>
        <w:ind w:left="0"/>
        <w:jc w:val="both"/>
      </w:pPr>
      <w:r>
        <w:rPr>
          <w:rFonts w:ascii="Times New Roman"/>
          <w:b w:val="false"/>
          <w:i w:val="false"/>
          <w:color w:val="000000"/>
          <w:sz w:val="28"/>
        </w:rPr>
        <w:t>
      1) орталық зертхана:</w:t>
      </w:r>
    </w:p>
    <w:bookmarkEnd w:id="21"/>
    <w:p>
      <w:pPr>
        <w:spacing w:after="0"/>
        <w:ind w:left="0"/>
        <w:jc w:val="both"/>
      </w:pPr>
      <w:r>
        <w:rPr>
          <w:rFonts w:ascii="Times New Roman"/>
          <w:b w:val="false"/>
          <w:i w:val="false"/>
          <w:color w:val="000000"/>
          <w:sz w:val="28"/>
        </w:rPr>
        <w:t>
      жергілікті зертханаларды ұйымдастырушылық-әдістемелік басқару;</w:t>
      </w:r>
    </w:p>
    <w:p>
      <w:pPr>
        <w:spacing w:after="0"/>
        <w:ind w:left="0"/>
        <w:jc w:val="both"/>
      </w:pPr>
      <w:r>
        <w:rPr>
          <w:rFonts w:ascii="Times New Roman"/>
          <w:b w:val="false"/>
          <w:i w:val="false"/>
          <w:color w:val="000000"/>
          <w:sz w:val="28"/>
        </w:rPr>
        <w:t>
      жергілікті зертханаларға тіндерді (тіндердің бөліктерін) және (немесе) ағзаларды (ағзалардың бөліктерін) иммунологиялық типтеу мәселелері бойынша консультациялық көмек көрсету;</w:t>
      </w:r>
    </w:p>
    <w:p>
      <w:pPr>
        <w:spacing w:after="0"/>
        <w:ind w:left="0"/>
        <w:jc w:val="both"/>
      </w:pPr>
      <w:r>
        <w:rPr>
          <w:rFonts w:ascii="Times New Roman"/>
          <w:b w:val="false"/>
          <w:i w:val="false"/>
          <w:color w:val="000000"/>
          <w:sz w:val="28"/>
        </w:rPr>
        <w:t>
      адамның лейкоциттік антигендерін зерттеу жөніндегі ғылыми қызметті жүзеге асыру;</w:t>
      </w:r>
    </w:p>
    <w:p>
      <w:pPr>
        <w:spacing w:after="0"/>
        <w:ind w:left="0"/>
        <w:jc w:val="both"/>
      </w:pPr>
      <w:r>
        <w:rPr>
          <w:rFonts w:ascii="Times New Roman"/>
          <w:b w:val="false"/>
          <w:i w:val="false"/>
          <w:color w:val="000000"/>
          <w:sz w:val="28"/>
        </w:rPr>
        <w:t>
      тіндерді (тіндердің бөліктерін) және (немесе) ағзаларды (ағзалардың бөліктерін) транспланттау кезінде донорлар мен реципиенттерді иммунологиялық тексеріп-қарау мәселелері бойынша білім қызметін жүзеге асыру;</w:t>
      </w:r>
    </w:p>
    <w:p>
      <w:pPr>
        <w:spacing w:after="0"/>
        <w:ind w:left="0"/>
        <w:jc w:val="both"/>
      </w:pPr>
      <w:r>
        <w:rPr>
          <w:rFonts w:ascii="Times New Roman"/>
          <w:b w:val="false"/>
          <w:i w:val="false"/>
          <w:color w:val="000000"/>
          <w:sz w:val="28"/>
        </w:rPr>
        <w:t>
      жетекшілік ететін өңірдегі донорлар мен реципиенттерге тіндерді (тіндердің бөліктерін) және (немесе) ағзаларды (ағзалардың бөліктерін) транспланттау кезінде иммунологиялық тексеріп-қарауды жүргізу;</w:t>
      </w:r>
    </w:p>
    <w:p>
      <w:pPr>
        <w:spacing w:after="0"/>
        <w:ind w:left="0"/>
        <w:jc w:val="both"/>
      </w:pPr>
      <w:r>
        <w:rPr>
          <w:rFonts w:ascii="Times New Roman"/>
          <w:b w:val="false"/>
          <w:i w:val="false"/>
          <w:color w:val="000000"/>
          <w:sz w:val="28"/>
        </w:rPr>
        <w:t>
      ауыстырылған ағзалар мен тіндердің бітуіне иммунологиялық бақылау жүргізу.</w:t>
      </w:r>
    </w:p>
    <w:bookmarkStart w:name="z23" w:id="22"/>
    <w:p>
      <w:pPr>
        <w:spacing w:after="0"/>
        <w:ind w:left="0"/>
        <w:jc w:val="both"/>
      </w:pPr>
      <w:r>
        <w:rPr>
          <w:rFonts w:ascii="Times New Roman"/>
          <w:b w:val="false"/>
          <w:i w:val="false"/>
          <w:color w:val="000000"/>
          <w:sz w:val="28"/>
        </w:rPr>
        <w:t>
      2) жергілікті зертхана:</w:t>
      </w:r>
    </w:p>
    <w:bookmarkEnd w:id="22"/>
    <w:p>
      <w:pPr>
        <w:spacing w:after="0"/>
        <w:ind w:left="0"/>
        <w:jc w:val="both"/>
      </w:pPr>
      <w:r>
        <w:rPr>
          <w:rFonts w:ascii="Times New Roman"/>
          <w:b w:val="false"/>
          <w:i w:val="false"/>
          <w:color w:val="000000"/>
          <w:sz w:val="28"/>
        </w:rPr>
        <w:t>
      күту парағында тұратын адамдарды зерттеуді қоса алғанда, жетекшілік ететін өңірдің денсаулық сақтау ұйымдарындағы науқастар мен донорларға иммунологиялық зерттеу жүргізу;</w:t>
      </w:r>
    </w:p>
    <w:p>
      <w:pPr>
        <w:spacing w:after="0"/>
        <w:ind w:left="0"/>
        <w:jc w:val="both"/>
      </w:pPr>
      <w:r>
        <w:rPr>
          <w:rFonts w:ascii="Times New Roman"/>
          <w:b w:val="false"/>
          <w:i w:val="false"/>
          <w:color w:val="000000"/>
          <w:sz w:val="28"/>
        </w:rPr>
        <w:t>
      тіндерге (тіндердің бөліктерін) және (немесе) ағзаларға (ағзалардың бөліктерін) транспланттау жүргізуді қажет ететін реципиенттердің сарысуын жинақтауды ұйымдастыру;</w:t>
      </w:r>
    </w:p>
    <w:p>
      <w:pPr>
        <w:spacing w:after="0"/>
        <w:ind w:left="0"/>
        <w:jc w:val="both"/>
      </w:pPr>
      <w:r>
        <w:rPr>
          <w:rFonts w:ascii="Times New Roman"/>
          <w:b w:val="false"/>
          <w:i w:val="false"/>
          <w:color w:val="000000"/>
          <w:sz w:val="28"/>
        </w:rPr>
        <w:t>
      ауыстырылған ағзалар мен тіндердің бітуіне иммунологиялық бақылау жүргізу.</w:t>
      </w:r>
    </w:p>
    <w:bookmarkStart w:name="z24" w:id="23"/>
    <w:p>
      <w:pPr>
        <w:spacing w:after="0"/>
        <w:ind w:left="0"/>
        <w:jc w:val="left"/>
      </w:pPr>
      <w:r>
        <w:rPr>
          <w:rFonts w:ascii="Times New Roman"/>
          <w:b/>
          <w:i w:val="false"/>
          <w:color w:val="000000"/>
        </w:rPr>
        <w:t xml:space="preserve"> 3-тарау. HLA-зертханасының функциялары</w:t>
      </w:r>
    </w:p>
    <w:bookmarkEnd w:id="23"/>
    <w:bookmarkStart w:name="z25" w:id="24"/>
    <w:p>
      <w:pPr>
        <w:spacing w:after="0"/>
        <w:ind w:left="0"/>
        <w:jc w:val="both"/>
      </w:pPr>
      <w:r>
        <w:rPr>
          <w:rFonts w:ascii="Times New Roman"/>
          <w:b w:val="false"/>
          <w:i w:val="false"/>
          <w:color w:val="000000"/>
          <w:sz w:val="28"/>
        </w:rPr>
        <w:t>
      7. Алдына қойылған міндеттерге сәйкес HLA-зертхана мынадай функцияларды жүзеге асырады:</w:t>
      </w:r>
    </w:p>
    <w:bookmarkEnd w:id="24"/>
    <w:bookmarkStart w:name="z26" w:id="25"/>
    <w:p>
      <w:pPr>
        <w:spacing w:after="0"/>
        <w:ind w:left="0"/>
        <w:jc w:val="both"/>
      </w:pPr>
      <w:r>
        <w:rPr>
          <w:rFonts w:ascii="Times New Roman"/>
          <w:b w:val="false"/>
          <w:i w:val="false"/>
          <w:color w:val="000000"/>
          <w:sz w:val="28"/>
        </w:rPr>
        <w:t>
      1) пациенттер мен донорларға тірі және/немесе мәйіттік донордан бүйректер мен ұйқы безін транспланттау кезінде зерттеулер жүргізу;</w:t>
      </w:r>
    </w:p>
    <w:bookmarkEnd w:id="25"/>
    <w:p>
      <w:pPr>
        <w:spacing w:after="0"/>
        <w:ind w:left="0"/>
        <w:jc w:val="both"/>
      </w:pPr>
      <w:r>
        <w:rPr>
          <w:rFonts w:ascii="Times New Roman"/>
          <w:b w:val="false"/>
          <w:i w:val="false"/>
          <w:color w:val="000000"/>
          <w:sz w:val="28"/>
        </w:rPr>
        <w:t>
      бүйректерді немесе ұйқы безін транспланттау кезінде стационардың трансплантолог дәрігерінің және (немесе) Қазақстан Республикасы Денсаулық сақтау министрлігінің "Транспланттауды және жоғары технологиялық медициналық қызметті үйлестіру жөніндегі республикалық орталық" шаруашылық жүргізу құқығындағы республикалық мемлекеттік кәсіпорнының транспланттау жөніндегі республикалық үйлестірушіcінің (бұдан әрі – ТЖТМҚҮРО) жолдамасы бойынша тіндік үйлесімділікті анықтау бойынша барлық қажетті зерттеулерді жүргізу;</w:t>
      </w:r>
    </w:p>
    <w:p>
      <w:pPr>
        <w:spacing w:after="0"/>
        <w:ind w:left="0"/>
        <w:jc w:val="both"/>
      </w:pPr>
      <w:r>
        <w:rPr>
          <w:rFonts w:ascii="Times New Roman"/>
          <w:b w:val="false"/>
          <w:i w:val="false"/>
          <w:color w:val="000000"/>
          <w:sz w:val="28"/>
        </w:rPr>
        <w:t>
      төмен рұқсат етілген деңгейде серологиялық әдіспен І кластағы А, В және Сw локустары бойынша тірі донор мен реципиент үшін лейкоциттік антигендерді бастапқы анықтауды жүргізу;</w:t>
      </w:r>
    </w:p>
    <w:p>
      <w:pPr>
        <w:spacing w:after="0"/>
        <w:ind w:left="0"/>
        <w:jc w:val="both"/>
      </w:pPr>
      <w:r>
        <w:rPr>
          <w:rFonts w:ascii="Times New Roman"/>
          <w:b w:val="false"/>
          <w:i w:val="false"/>
          <w:color w:val="000000"/>
          <w:sz w:val="28"/>
        </w:rPr>
        <w:t>
      реципиент пен іріктелген донорды транспланттау алдында жаңа қан үлгісінен SSP немесе SSO әдісімен төмен рұқсат етілген деңгейде молекулалық-генетикалық әдіспен А, В және DRB1 локустарының лейкоцитарлық антиденелерін растайтын типтеуді жүргізу;</w:t>
      </w:r>
    </w:p>
    <w:p>
      <w:pPr>
        <w:spacing w:after="0"/>
        <w:ind w:left="0"/>
        <w:jc w:val="both"/>
      </w:pPr>
      <w:r>
        <w:rPr>
          <w:rFonts w:ascii="Times New Roman"/>
          <w:b w:val="false"/>
          <w:i w:val="false"/>
          <w:color w:val="000000"/>
          <w:sz w:val="28"/>
        </w:rPr>
        <w:t>
      HLA-C, DQB1, DQA, DPВ, DPА локустары бойынша төмен рұқсат етілген деңгейде SSP және SSO молекулалық-генетикалық әдіспен, қажет болғанда донор-ерекше антиденелерді диагноститкалау үшін жоғары рұқсат етілген деңгейінде (SBT) донорға қосымша типтеу жүргізу;</w:t>
      </w:r>
    </w:p>
    <w:p>
      <w:pPr>
        <w:spacing w:after="0"/>
        <w:ind w:left="0"/>
        <w:jc w:val="both"/>
      </w:pPr>
      <w:r>
        <w:rPr>
          <w:rFonts w:ascii="Times New Roman"/>
          <w:b w:val="false"/>
          <w:i w:val="false"/>
          <w:color w:val="000000"/>
          <w:sz w:val="28"/>
        </w:rPr>
        <w:t>
      мәйіттік донор үшін HLA-А, В және DRB1 локустары бойынша SSP және (немесе) SSO молекулалық-генетикалық әдіспен төмен рұқсат етілген деңгейде типтеу жүргізу;</w:t>
      </w:r>
    </w:p>
    <w:p>
      <w:pPr>
        <w:spacing w:after="0"/>
        <w:ind w:left="0"/>
        <w:jc w:val="both"/>
      </w:pPr>
      <w:r>
        <w:rPr>
          <w:rFonts w:ascii="Times New Roman"/>
          <w:b w:val="false"/>
          <w:i w:val="false"/>
          <w:color w:val="000000"/>
          <w:sz w:val="28"/>
        </w:rPr>
        <w:t>
      транспланттауға дайындау кезінде пациенттерде антиденелердің бар-жоғын анықтау, антиденелер бар болған кезде олардың деңгейі мен ерекшелігін операцияға дейін 48 сағат бұрын алынған пациенттің сарысуымен анықтау;</w:t>
      </w:r>
    </w:p>
    <w:p>
      <w:pPr>
        <w:spacing w:after="0"/>
        <w:ind w:left="0"/>
        <w:jc w:val="both"/>
      </w:pPr>
      <w:r>
        <w:rPr>
          <w:rFonts w:ascii="Times New Roman"/>
          <w:b w:val="false"/>
          <w:i w:val="false"/>
          <w:color w:val="000000"/>
          <w:sz w:val="28"/>
        </w:rPr>
        <w:t>
      антиденелердің бар-жоғын ИФТ (Elisa test) немесе флуоресценттік цитометрия (SSO) әдісімен анықтау және күрделі жағдайларда лейкоциттік антиденелермен сенсибилизацияны бағалауды екі әдіспен жүргізу;</w:t>
      </w:r>
    </w:p>
    <w:p>
      <w:pPr>
        <w:spacing w:after="0"/>
        <w:ind w:left="0"/>
        <w:jc w:val="both"/>
      </w:pPr>
      <w:r>
        <w:rPr>
          <w:rFonts w:ascii="Times New Roman"/>
          <w:b w:val="false"/>
          <w:i w:val="false"/>
          <w:color w:val="000000"/>
          <w:sz w:val="28"/>
        </w:rPr>
        <w:t>
      Реципиент пен донордың барлық жұптары үшін міндетті түрде "кросс-матч" үйлесімділік сынамасын жүргізу;</w:t>
      </w:r>
    </w:p>
    <w:p>
      <w:pPr>
        <w:spacing w:after="0"/>
        <w:ind w:left="0"/>
        <w:jc w:val="both"/>
      </w:pPr>
      <w:r>
        <w:rPr>
          <w:rFonts w:ascii="Times New Roman"/>
          <w:b w:val="false"/>
          <w:i w:val="false"/>
          <w:color w:val="000000"/>
          <w:sz w:val="28"/>
        </w:rPr>
        <w:t>
      Қазақстан Республикасының резиденттері болып табылмайтын және Қазақстан Республикасының аумағында трансплантология клиникаларымен жасалған шарттың шеңберінде трансплантологиялық көмек алатын адамдар үшін гистологиялық үйлесімділікті анықтау жөніндегі барлық зерттеулерді міндетті түрде жүргізу;</w:t>
      </w:r>
    </w:p>
    <w:bookmarkStart w:name="z27" w:id="26"/>
    <w:p>
      <w:pPr>
        <w:spacing w:after="0"/>
        <w:ind w:left="0"/>
        <w:jc w:val="both"/>
      </w:pPr>
      <w:r>
        <w:rPr>
          <w:rFonts w:ascii="Times New Roman"/>
          <w:b w:val="false"/>
          <w:i w:val="false"/>
          <w:color w:val="000000"/>
          <w:sz w:val="28"/>
        </w:rPr>
        <w:t>
      2) пациенттер мен донорларға тірі және/немесе мәйіттік донордан бауырды, жүректі және басқа ағзаларды транспланттау кезінде зерттеулер жүргізу:</w:t>
      </w:r>
    </w:p>
    <w:bookmarkEnd w:id="26"/>
    <w:p>
      <w:pPr>
        <w:spacing w:after="0"/>
        <w:ind w:left="0"/>
        <w:jc w:val="both"/>
      </w:pPr>
      <w:r>
        <w:rPr>
          <w:rFonts w:ascii="Times New Roman"/>
          <w:b w:val="false"/>
          <w:i w:val="false"/>
          <w:color w:val="000000"/>
          <w:sz w:val="28"/>
        </w:rPr>
        <w:t>
      стационардағы трансплантолог дәрігердің және (немесе) ТЖТМҚҮРО республикалық үйлестірушісінің жолдамасы бойынша бауырды, жүректі немесе басқа ағзаларды транспланттау кезінде тіндік үйлесімділікті анықтау жөніндегі барлық қажетті зерттеулерді жүргізу;</w:t>
      </w:r>
    </w:p>
    <w:p>
      <w:pPr>
        <w:spacing w:after="0"/>
        <w:ind w:left="0"/>
        <w:jc w:val="both"/>
      </w:pPr>
      <w:r>
        <w:rPr>
          <w:rFonts w:ascii="Times New Roman"/>
          <w:b w:val="false"/>
          <w:i w:val="false"/>
          <w:color w:val="000000"/>
          <w:sz w:val="28"/>
        </w:rPr>
        <w:t>
      транспланттауға дайындау кезінде пациенттерде антиденелердің бар-жоғын анықтау, антиденелер бар болған кезде олардың деңгейі мен ерекшелігін операцияға дейін 48 сағат бұрын алынған пациенттің сарысуымен анықтау;</w:t>
      </w:r>
    </w:p>
    <w:p>
      <w:pPr>
        <w:spacing w:after="0"/>
        <w:ind w:left="0"/>
        <w:jc w:val="both"/>
      </w:pPr>
      <w:r>
        <w:rPr>
          <w:rFonts w:ascii="Times New Roman"/>
          <w:b w:val="false"/>
          <w:i w:val="false"/>
          <w:color w:val="000000"/>
          <w:sz w:val="28"/>
        </w:rPr>
        <w:t>
      ИФТ (Elisa test) немесе флуоресценттік цитометрия (SSO) әдісімен антиденелердің бар-жоғын анықтау және екі әдіспен күрделі жағдайларда лейкоциттік антиденелермен сенсибилизацияға бағалау жүргізу;</w:t>
      </w:r>
    </w:p>
    <w:p>
      <w:pPr>
        <w:spacing w:after="0"/>
        <w:ind w:left="0"/>
        <w:jc w:val="both"/>
      </w:pPr>
      <w:r>
        <w:rPr>
          <w:rFonts w:ascii="Times New Roman"/>
          <w:b w:val="false"/>
          <w:i w:val="false"/>
          <w:color w:val="000000"/>
          <w:sz w:val="28"/>
        </w:rPr>
        <w:t>
      реципиентте лейкоциттік антиденелер болған кезде реципипиенттер мен олардың донорларына HLA-жүйесінің I класындағы А, В және Сw локустары мен ІІ кластағы DRB1 локусы бойынша HLA-типтеуді және "кросс-матч" үйлесімділік сынамасын жүргізу;</w:t>
      </w:r>
    </w:p>
    <w:p>
      <w:pPr>
        <w:spacing w:after="0"/>
        <w:ind w:left="0"/>
        <w:jc w:val="both"/>
      </w:pPr>
      <w:r>
        <w:rPr>
          <w:rFonts w:ascii="Times New Roman"/>
          <w:b w:val="false"/>
          <w:i w:val="false"/>
          <w:color w:val="000000"/>
          <w:sz w:val="28"/>
        </w:rPr>
        <w:t>
      мәйіттік донор үшін HLA- А, В және DRB1 локустары бойынша SSP және (немесе) SSO молекулалық-генетикалық әдісімен төмен рұқсат етілген деңгейде типтеу жүргізу;</w:t>
      </w:r>
    </w:p>
    <w:bookmarkStart w:name="z28" w:id="27"/>
    <w:p>
      <w:pPr>
        <w:spacing w:after="0"/>
        <w:ind w:left="0"/>
        <w:jc w:val="both"/>
      </w:pPr>
      <w:r>
        <w:rPr>
          <w:rFonts w:ascii="Times New Roman"/>
          <w:b w:val="false"/>
          <w:i w:val="false"/>
          <w:color w:val="000000"/>
          <w:sz w:val="28"/>
        </w:rPr>
        <w:t>
      3) донор мен реципиенттің "кросс-матч" үйлесімділік сынамасын қою:</w:t>
      </w:r>
    </w:p>
    <w:bookmarkEnd w:id="27"/>
    <w:p>
      <w:pPr>
        <w:spacing w:after="0"/>
        <w:ind w:left="0"/>
        <w:jc w:val="both"/>
      </w:pPr>
      <w:r>
        <w:rPr>
          <w:rFonts w:ascii="Times New Roman"/>
          <w:b w:val="false"/>
          <w:i w:val="false"/>
          <w:color w:val="000000"/>
          <w:sz w:val="28"/>
        </w:rPr>
        <w:t>
      ағзаларды транспланттауда "кросс-матч" үйлесімділік сынамасын стационардың трансплантолог дәрігердің және (немесе) ТЖТМҚҮРО республикалық үйлестірушісінің жолдамасы бойынша жүргізу;</w:t>
      </w:r>
    </w:p>
    <w:p>
      <w:pPr>
        <w:spacing w:after="0"/>
        <w:ind w:left="0"/>
        <w:jc w:val="both"/>
      </w:pPr>
      <w:r>
        <w:rPr>
          <w:rFonts w:ascii="Times New Roman"/>
          <w:b w:val="false"/>
          <w:i w:val="false"/>
          <w:color w:val="000000"/>
          <w:sz w:val="28"/>
        </w:rPr>
        <w:t>
      лимфоцитотоксикалық тестің негізінде серологиялық әдіспен "кросс-матч" үйлесімділік сынамасын жүргізу, серологиялық әдіспен алынған нәтижелерді растау қажеттілігі болған кезінде ағынды цитометрия әдісімен үйлесімділік сынамасын қою;</w:t>
      </w:r>
    </w:p>
    <w:p>
      <w:pPr>
        <w:spacing w:after="0"/>
        <w:ind w:left="0"/>
        <w:jc w:val="both"/>
      </w:pPr>
      <w:r>
        <w:rPr>
          <w:rFonts w:ascii="Times New Roman"/>
          <w:b w:val="false"/>
          <w:i w:val="false"/>
          <w:color w:val="000000"/>
          <w:sz w:val="28"/>
        </w:rPr>
        <w:t>
      тірі донорлар қатарынан донорды іріктеу кезеңінде донор мен реципиенттің үйлесімділігі туралы шешім қабылдау үшін алғашқы "кросс-матч" сынамасын қою;</w:t>
      </w:r>
    </w:p>
    <w:p>
      <w:pPr>
        <w:spacing w:after="0"/>
        <w:ind w:left="0"/>
        <w:jc w:val="both"/>
      </w:pPr>
      <w:r>
        <w:rPr>
          <w:rFonts w:ascii="Times New Roman"/>
          <w:b w:val="false"/>
          <w:i w:val="false"/>
          <w:color w:val="000000"/>
          <w:sz w:val="28"/>
        </w:rPr>
        <w:t>
      операцияға дейін міндетті түрде 48 сағаттың ішінде алынған сарысумен "кросс-матч" үйлесімділікке өзекті сынаманы қою;</w:t>
      </w:r>
    </w:p>
    <w:bookmarkStart w:name="z29" w:id="28"/>
    <w:p>
      <w:pPr>
        <w:spacing w:after="0"/>
        <w:ind w:left="0"/>
        <w:jc w:val="both"/>
      </w:pPr>
      <w:r>
        <w:rPr>
          <w:rFonts w:ascii="Times New Roman"/>
          <w:b w:val="false"/>
          <w:i w:val="false"/>
          <w:color w:val="000000"/>
          <w:sz w:val="28"/>
        </w:rPr>
        <w:t>
      4) Күту парағына енгізілетін пациенттерге зерттеулер жүргізу:</w:t>
      </w:r>
    </w:p>
    <w:bookmarkEnd w:id="28"/>
    <w:p>
      <w:pPr>
        <w:spacing w:after="0"/>
        <w:ind w:left="0"/>
        <w:jc w:val="both"/>
      </w:pPr>
      <w:r>
        <w:rPr>
          <w:rFonts w:ascii="Times New Roman"/>
          <w:b w:val="false"/>
          <w:i w:val="false"/>
          <w:color w:val="000000"/>
          <w:sz w:val="28"/>
        </w:rPr>
        <w:t>
      өңірлік үйлестірушінің немесе бейінді мамандардың жолдамасы бойынша HLA-антигендері мен HLA-антиденелерді анықтау бойынша зерттеулер жүргізу;</w:t>
      </w:r>
    </w:p>
    <w:p>
      <w:pPr>
        <w:spacing w:after="0"/>
        <w:ind w:left="0"/>
        <w:jc w:val="both"/>
      </w:pPr>
      <w:r>
        <w:rPr>
          <w:rFonts w:ascii="Times New Roman"/>
          <w:b w:val="false"/>
          <w:i w:val="false"/>
          <w:color w:val="000000"/>
          <w:sz w:val="28"/>
        </w:rPr>
        <w:t>
      төмен рұқсат етілген деңгейде SSP және (немесе) SSO молекулалық-генетикалық әдісімен I кластағы HLA-А және В локустары мен II кластағы DRB1 локусы бойынша пациенттердің лейкоциттік антигендерін анықтау;</w:t>
      </w:r>
    </w:p>
    <w:p>
      <w:pPr>
        <w:spacing w:after="0"/>
        <w:ind w:left="0"/>
        <w:jc w:val="both"/>
      </w:pPr>
      <w:r>
        <w:rPr>
          <w:rFonts w:ascii="Times New Roman"/>
          <w:b w:val="false"/>
          <w:i w:val="false"/>
          <w:color w:val="000000"/>
          <w:sz w:val="28"/>
        </w:rPr>
        <w:t>
      туыстық донор пайда болған кезде Күту парағында тұрған пациенттке I кластағы А және В локустары және II кластағы DRB1 локусы бойынша жаңа қан үлгісінен SSP немесе SSO әдісімен төмен рұқсат етілген деңгейде молекулалық-генетикалық әдіспен растайтын типтеуді жүргізу;</w:t>
      </w:r>
    </w:p>
    <w:p>
      <w:pPr>
        <w:spacing w:after="0"/>
        <w:ind w:left="0"/>
        <w:jc w:val="both"/>
      </w:pPr>
      <w:r>
        <w:rPr>
          <w:rFonts w:ascii="Times New Roman"/>
          <w:b w:val="false"/>
          <w:i w:val="false"/>
          <w:color w:val="000000"/>
          <w:sz w:val="28"/>
        </w:rPr>
        <w:t>
      Күту парағына қосу немесе ағзаны (тінді) транспланттауды қажет ететін пациенттерді туыстық транспланттауға дайындау кезінде HLA-антиденелердің бар-жоғын анықтау;</w:t>
      </w:r>
    </w:p>
    <w:p>
      <w:pPr>
        <w:spacing w:after="0"/>
        <w:ind w:left="0"/>
        <w:jc w:val="both"/>
      </w:pPr>
      <w:r>
        <w:rPr>
          <w:rFonts w:ascii="Times New Roman"/>
          <w:b w:val="false"/>
          <w:i w:val="false"/>
          <w:color w:val="000000"/>
          <w:sz w:val="28"/>
        </w:rPr>
        <w:t>
      Күту парағына енгізілген адамдар үшін антиденелердің бар-жоғы үш айда бір рет жиілігімен анықтау;</w:t>
      </w:r>
    </w:p>
    <w:p>
      <w:pPr>
        <w:spacing w:after="0"/>
        <w:ind w:left="0"/>
        <w:jc w:val="both"/>
      </w:pPr>
      <w:r>
        <w:rPr>
          <w:rFonts w:ascii="Times New Roman"/>
          <w:b w:val="false"/>
          <w:i w:val="false"/>
          <w:color w:val="000000"/>
          <w:sz w:val="28"/>
        </w:rPr>
        <w:t>
      Күту парағының электрондық дерекқорына зерттеп-қаралатын пациенттің HLA-антигендері мен HLA-антиденелерінің бар-жоғы туралы ақпаратты енгізу;</w:t>
      </w:r>
    </w:p>
    <w:bookmarkStart w:name="z30" w:id="29"/>
    <w:p>
      <w:pPr>
        <w:spacing w:after="0"/>
        <w:ind w:left="0"/>
        <w:jc w:val="both"/>
      </w:pPr>
      <w:r>
        <w:rPr>
          <w:rFonts w:ascii="Times New Roman"/>
          <w:b w:val="false"/>
          <w:i w:val="false"/>
          <w:color w:val="000000"/>
          <w:sz w:val="28"/>
        </w:rPr>
        <w:t>
      5) ағзаны (тінді) транспланттауды бастан өткерген пациенттердегі HLA-антиденелерінің транспланттаудан кейінгі мониторингі:</w:t>
      </w:r>
    </w:p>
    <w:bookmarkEnd w:id="29"/>
    <w:p>
      <w:pPr>
        <w:spacing w:after="0"/>
        <w:ind w:left="0"/>
        <w:jc w:val="both"/>
      </w:pPr>
      <w:r>
        <w:rPr>
          <w:rFonts w:ascii="Times New Roman"/>
          <w:b w:val="false"/>
          <w:i w:val="false"/>
          <w:color w:val="000000"/>
          <w:sz w:val="28"/>
        </w:rPr>
        <w:t>
      өңірлік және (немесе) республикалық үйлестірушінің, транспланттау орталығының үйлестірушісі немесе тиісті өңірдегі денсаулық сақтау басқармасының бейінді маманның (нефролог, гепатолог, кардиолог) жолдамасы бойынша HLA-антигендері және HLA-антиденелерін анықтау жөніндегі зерттеулерді жүргізу;</w:t>
      </w:r>
    </w:p>
    <w:p>
      <w:pPr>
        <w:spacing w:after="0"/>
        <w:ind w:left="0"/>
        <w:jc w:val="both"/>
      </w:pPr>
      <w:r>
        <w:rPr>
          <w:rFonts w:ascii="Times New Roman"/>
          <w:b w:val="false"/>
          <w:i w:val="false"/>
          <w:color w:val="000000"/>
          <w:sz w:val="28"/>
        </w:rPr>
        <w:t>
      үш айда бір рет жиілікпен тірі немесе мәйіттік донордан ағзаны (тінді) транспланттауды бастан өткерген пациенттерге антиденелердің бар-жоғын флуоресценттік цитометрия (SSO) әдісімен өткізу;</w:t>
      </w:r>
    </w:p>
    <w:bookmarkStart w:name="z31" w:id="30"/>
    <w:p>
      <w:pPr>
        <w:spacing w:after="0"/>
        <w:ind w:left="0"/>
        <w:jc w:val="both"/>
      </w:pPr>
      <w:r>
        <w:rPr>
          <w:rFonts w:ascii="Times New Roman"/>
          <w:b w:val="false"/>
          <w:i w:val="false"/>
          <w:color w:val="000000"/>
          <w:sz w:val="28"/>
        </w:rPr>
        <w:t>
      6) гемопоэздік дің жасушаларын (сүйек кемігі) транспланттауда пациенттер мен донорлардың HLA-фенотипін анықтау:</w:t>
      </w:r>
    </w:p>
    <w:bookmarkEnd w:id="30"/>
    <w:p>
      <w:pPr>
        <w:spacing w:after="0"/>
        <w:ind w:left="0"/>
        <w:jc w:val="both"/>
      </w:pPr>
      <w:r>
        <w:rPr>
          <w:rFonts w:ascii="Times New Roman"/>
          <w:b w:val="false"/>
          <w:i w:val="false"/>
          <w:color w:val="000000"/>
          <w:sz w:val="28"/>
        </w:rPr>
        <w:t>
      медициналық ұйымдағы гематолог дәрігердің жолдамасы бойынша HLA-антигендерін анықтау бойынша зерттеулер жүргізу;</w:t>
      </w:r>
    </w:p>
    <w:p>
      <w:pPr>
        <w:spacing w:after="0"/>
        <w:ind w:left="0"/>
        <w:jc w:val="both"/>
      </w:pPr>
      <w:r>
        <w:rPr>
          <w:rFonts w:ascii="Times New Roman"/>
          <w:b w:val="false"/>
          <w:i w:val="false"/>
          <w:color w:val="000000"/>
          <w:sz w:val="28"/>
        </w:rPr>
        <w:t>
      І кластағы А, В және С локустары ІІ кластағы DRB1, DQB1 локустары бойынша SSP және (немесе) SSO молекулалық-генетикалық әдіспен төмен рұқсат етілген деңгейде гемопоэздік дің жасушаларын (сүйек кемігі) транспланттауды жоспарлау кезінде реципиент пен әлеуетті донордың HLA-антигендеріне бастапқы анықтауды жүргізу;</w:t>
      </w:r>
    </w:p>
    <w:p>
      <w:pPr>
        <w:spacing w:after="0"/>
        <w:ind w:left="0"/>
        <w:jc w:val="both"/>
      </w:pPr>
      <w:r>
        <w:rPr>
          <w:rFonts w:ascii="Times New Roman"/>
          <w:b w:val="false"/>
          <w:i w:val="false"/>
          <w:color w:val="000000"/>
          <w:sz w:val="28"/>
        </w:rPr>
        <w:t>
      реципиент пен іріктелген донорды типтеу нәтижелерін растау үшін көрсетілген локустар бойынша нақты гистологиялық үйлесімділікті жоғары мүмкіндіктегі деңгейде жаңа қан үлгісінен (SВТ) молекулалық-генетикалық әдіспен анықтау;</w:t>
      </w:r>
    </w:p>
    <w:p>
      <w:pPr>
        <w:spacing w:after="0"/>
        <w:ind w:left="0"/>
        <w:jc w:val="both"/>
      </w:pPr>
      <w:r>
        <w:rPr>
          <w:rFonts w:ascii="Times New Roman"/>
          <w:b w:val="false"/>
          <w:i w:val="false"/>
          <w:color w:val="000000"/>
          <w:sz w:val="28"/>
        </w:rPr>
        <w:t>
      Қазақстан Республикасының резиденттері болып табылмайтын және трансплантология клиникаларымен жасалған шарттың шеңберінде Қазақстан Республикасының аумағында міндетті түрде трансплантологиялық көмек алатын адамдар үшін гистологиялық үйлесімділікті анықтау жөніндегі барлық зерттеулерді жүргізу;</w:t>
      </w:r>
    </w:p>
    <w:bookmarkStart w:name="z32" w:id="31"/>
    <w:p>
      <w:pPr>
        <w:spacing w:after="0"/>
        <w:ind w:left="0"/>
        <w:jc w:val="both"/>
      </w:pPr>
      <w:r>
        <w:rPr>
          <w:rFonts w:ascii="Times New Roman"/>
          <w:b w:val="false"/>
          <w:i w:val="false"/>
          <w:color w:val="000000"/>
          <w:sz w:val="28"/>
        </w:rPr>
        <w:t>
      7) Гемопоэздік дің жасушалары донорларының ұлттық тіркелімін қалыптастыру үшін әлеуетті донорлардың HLA-фенотипін анықтау:</w:t>
      </w:r>
    </w:p>
    <w:bookmarkEnd w:id="31"/>
    <w:p>
      <w:pPr>
        <w:spacing w:after="0"/>
        <w:ind w:left="0"/>
        <w:jc w:val="both"/>
      </w:pPr>
      <w:r>
        <w:rPr>
          <w:rFonts w:ascii="Times New Roman"/>
          <w:b w:val="false"/>
          <w:i w:val="false"/>
          <w:color w:val="000000"/>
          <w:sz w:val="28"/>
        </w:rPr>
        <w:t>
      молекулалық-генетикалық әдіспен (SBT) жоғары рұқсат етілген деңгейде І кластағы А, В және С локустары және ІІ кластағы DRB1, DQB1 локустары бойынша гемопоэздік дің жасушаларының донорлары болуға ниет білдірген адамдарға типтеуді жүргізу;</w:t>
      </w:r>
    </w:p>
    <w:p>
      <w:pPr>
        <w:spacing w:after="0"/>
        <w:ind w:left="0"/>
        <w:jc w:val="both"/>
      </w:pPr>
      <w:r>
        <w:rPr>
          <w:rFonts w:ascii="Times New Roman"/>
          <w:b w:val="false"/>
          <w:i w:val="false"/>
          <w:color w:val="000000"/>
          <w:sz w:val="28"/>
        </w:rPr>
        <w:t>
      генотипі бойынша әлеуетті реципиентке сәйкес келетін донорға жаңа қан үлгісінен (SВТ) жоғары рұқсат етілген деңгейде молекулалық-генетикалық әдіспен растайтын типтеуді жүргізу;</w:t>
      </w:r>
    </w:p>
    <w:p>
      <w:pPr>
        <w:spacing w:after="0"/>
        <w:ind w:left="0"/>
        <w:jc w:val="both"/>
      </w:pPr>
      <w:r>
        <w:rPr>
          <w:rFonts w:ascii="Times New Roman"/>
          <w:b w:val="false"/>
          <w:i w:val="false"/>
          <w:color w:val="000000"/>
          <w:sz w:val="28"/>
        </w:rPr>
        <w:t>
      донорлардың HLA-антигендері туралы нәтижелерді Тіркелімнің электрондық дерекқорына енгізу;</w:t>
      </w:r>
    </w:p>
    <w:bookmarkStart w:name="z33" w:id="32"/>
    <w:p>
      <w:pPr>
        <w:spacing w:after="0"/>
        <w:ind w:left="0"/>
        <w:jc w:val="both"/>
      </w:pPr>
      <w:r>
        <w:rPr>
          <w:rFonts w:ascii="Times New Roman"/>
          <w:b w:val="false"/>
          <w:i w:val="false"/>
          <w:color w:val="000000"/>
          <w:sz w:val="28"/>
        </w:rPr>
        <w:t>
      8) пациенттерде гемопоэздік дің жасушаларын (сүйек кемігін) транспланттаудан кейінгі донорлық химеризмді айқындау:</w:t>
      </w:r>
    </w:p>
    <w:bookmarkEnd w:id="32"/>
    <w:p>
      <w:pPr>
        <w:spacing w:after="0"/>
        <w:ind w:left="0"/>
        <w:jc w:val="both"/>
      </w:pPr>
      <w:r>
        <w:rPr>
          <w:rFonts w:ascii="Times New Roman"/>
          <w:b w:val="false"/>
          <w:i w:val="false"/>
          <w:color w:val="000000"/>
          <w:sz w:val="28"/>
        </w:rPr>
        <w:t>
      медициналық ұйымның гематолог дәрігерінің жолдамасы бойынша гемопоэздік дің жасушаларын (сүйек кемігі) транспланттау жүргізілген пациенттер үшін донорлық химеризмді айқындауды жүргізу;</w:t>
      </w:r>
    </w:p>
    <w:p>
      <w:pPr>
        <w:spacing w:after="0"/>
        <w:ind w:left="0"/>
        <w:jc w:val="both"/>
      </w:pPr>
      <w:r>
        <w:rPr>
          <w:rFonts w:ascii="Times New Roman"/>
          <w:b w:val="false"/>
          <w:i w:val="false"/>
          <w:color w:val="000000"/>
          <w:sz w:val="28"/>
        </w:rPr>
        <w:t>
      транспланттау жүргізуге дейін және одан кейін алынған пациенттің қан үлгілері мен донордың қан үлгісін пайдалана отырып, STR-локустарына фрагменттік талдау жүргізу арқылы молекулалық-генетикалық әдіспен донорлық химеримизмді анықтау;</w:t>
      </w:r>
    </w:p>
    <w:p>
      <w:pPr>
        <w:spacing w:after="0"/>
        <w:ind w:left="0"/>
        <w:jc w:val="both"/>
      </w:pPr>
      <w:r>
        <w:rPr>
          <w:rFonts w:ascii="Times New Roman"/>
          <w:b w:val="false"/>
          <w:i w:val="false"/>
          <w:color w:val="000000"/>
          <w:sz w:val="28"/>
        </w:rPr>
        <w:t>
      сенсибилизацияланған пациенттер үшін донордың HLA-антигендерінің негізінде тромбоциттерге жеке іріктеуді және трансфузиядан кейінгі реакцияларының дамуын иммунологиялық әдістпен бақылауды жүзеге асыру;</w:t>
      </w:r>
    </w:p>
    <w:bookmarkStart w:name="z34" w:id="33"/>
    <w:p>
      <w:pPr>
        <w:spacing w:after="0"/>
        <w:ind w:left="0"/>
        <w:jc w:val="both"/>
      </w:pPr>
      <w:r>
        <w:rPr>
          <w:rFonts w:ascii="Times New Roman"/>
          <w:b w:val="false"/>
          <w:i w:val="false"/>
          <w:color w:val="000000"/>
          <w:sz w:val="28"/>
        </w:rPr>
        <w:t>
      9) ұйымдастырушылық-әдістемелік басшылық және орталық комиссияның ғылыми функциялары:</w:t>
      </w:r>
    </w:p>
    <w:bookmarkEnd w:id="33"/>
    <w:p>
      <w:pPr>
        <w:spacing w:after="0"/>
        <w:ind w:left="0"/>
        <w:jc w:val="both"/>
      </w:pPr>
      <w:r>
        <w:rPr>
          <w:rFonts w:ascii="Times New Roman"/>
          <w:b w:val="false"/>
          <w:i w:val="false"/>
          <w:color w:val="000000"/>
          <w:sz w:val="28"/>
        </w:rPr>
        <w:t>
      жергілікті зертханалардың алдағы антиденелерді анықтау мен "кросс-матч" үйлесімділік сынамасына арналған сарысу панельдерін дайындау үшін ағзаны транспланттауды қажет ететін реципиенттер сарысуын жинақтау жөніндегі қызметті үйлестіру;</w:t>
      </w:r>
    </w:p>
    <w:p>
      <w:pPr>
        <w:spacing w:after="0"/>
        <w:ind w:left="0"/>
        <w:jc w:val="both"/>
      </w:pPr>
      <w:r>
        <w:rPr>
          <w:rFonts w:ascii="Times New Roman"/>
          <w:b w:val="false"/>
          <w:i w:val="false"/>
          <w:color w:val="000000"/>
          <w:sz w:val="28"/>
        </w:rPr>
        <w:t>
      популяциялық ғылыми зерттеулер кезінде түрлі аурулармен корреляцияларды анықтау үшін антилейкоциттік сарысуды жинау, скринингілеу, дайындау және қанды иммунологиялық типтеу бөлігінде жергілікті зертханалардың ұйымдастырушылық-әдістемелік басшылығын жүзеге асыру;</w:t>
      </w:r>
    </w:p>
    <w:p>
      <w:pPr>
        <w:spacing w:after="0"/>
        <w:ind w:left="0"/>
        <w:jc w:val="both"/>
      </w:pPr>
      <w:r>
        <w:rPr>
          <w:rFonts w:ascii="Times New Roman"/>
          <w:b w:val="false"/>
          <w:i w:val="false"/>
          <w:color w:val="000000"/>
          <w:sz w:val="28"/>
        </w:rPr>
        <w:t>
      жергілікті зертхана қызметінің мониторингі мен талдауы;</w:t>
      </w:r>
    </w:p>
    <w:p>
      <w:pPr>
        <w:spacing w:after="0"/>
        <w:ind w:left="0"/>
        <w:jc w:val="both"/>
      </w:pPr>
      <w:r>
        <w:rPr>
          <w:rFonts w:ascii="Times New Roman"/>
          <w:b w:val="false"/>
          <w:i w:val="false"/>
          <w:color w:val="000000"/>
          <w:sz w:val="28"/>
        </w:rPr>
        <w:t>
      тіндік типтеуде пайдаланылатын әдістерді жетілдірудің негізгі бағыттарын қалыптастыру;</w:t>
      </w:r>
    </w:p>
    <w:p>
      <w:pPr>
        <w:spacing w:after="0"/>
        <w:ind w:left="0"/>
        <w:jc w:val="both"/>
      </w:pPr>
      <w:r>
        <w:rPr>
          <w:rFonts w:ascii="Times New Roman"/>
          <w:b w:val="false"/>
          <w:i w:val="false"/>
          <w:color w:val="000000"/>
          <w:sz w:val="28"/>
        </w:rPr>
        <w:t>
      республикадағы тіндік типтеу зертханалары үшін кадрларды жоспарлау және үйлестіру, жергілікті зертхананың мамандары үшін оқыту өткізуге қатысу;</w:t>
      </w:r>
    </w:p>
    <w:p>
      <w:pPr>
        <w:spacing w:after="0"/>
        <w:ind w:left="0"/>
        <w:jc w:val="both"/>
      </w:pPr>
      <w:r>
        <w:rPr>
          <w:rFonts w:ascii="Times New Roman"/>
          <w:b w:val="false"/>
          <w:i w:val="false"/>
          <w:color w:val="000000"/>
          <w:sz w:val="28"/>
        </w:rPr>
        <w:t>
      қазақстандық популяциядағы HLA-фенотиптердің таралуын, зерделенетін HLA-фенотиптердің аурулардың түрлі түрлерімен өзара байланысын зерделеу, адам геномын зерттеу жөніндегі ғылыми жұмыстарды жүргізу;</w:t>
      </w:r>
    </w:p>
    <w:p>
      <w:pPr>
        <w:spacing w:after="0"/>
        <w:ind w:left="0"/>
        <w:jc w:val="both"/>
      </w:pPr>
      <w:r>
        <w:rPr>
          <w:rFonts w:ascii="Times New Roman"/>
          <w:b w:val="false"/>
          <w:i w:val="false"/>
          <w:color w:val="000000"/>
          <w:sz w:val="28"/>
        </w:rPr>
        <w:t>
      республиканың иммунологиялық типтеу зертханаларының практикасына жаңа зерттеу әдістерін зерделеу мен трансферті;</w:t>
      </w:r>
    </w:p>
    <w:p>
      <w:pPr>
        <w:spacing w:after="0"/>
        <w:ind w:left="0"/>
        <w:jc w:val="both"/>
      </w:pPr>
      <w:r>
        <w:rPr>
          <w:rFonts w:ascii="Times New Roman"/>
          <w:b w:val="false"/>
          <w:i w:val="false"/>
          <w:color w:val="000000"/>
          <w:sz w:val="28"/>
        </w:rPr>
        <w:t>
      медициналық ұйымдардың практикасына түрлі патологиялық жағдайларды диагностикалау, емдеу тиімділігін бағалау мен болжамдау, бірқатар аурулардың алдын алу, популяциялық зерттеулерді жүргізу, сот-медициналық сараптаманы жүргізу үшін профилактикалық іс-шараларды ұйымдастыру мақсатында халықтың арасында қауіп топтарын қалыптастыру кезінде иммуногенетикалық және геномдық зерттеулерді енгізу;</w:t>
      </w:r>
    </w:p>
    <w:p>
      <w:pPr>
        <w:spacing w:after="0"/>
        <w:ind w:left="0"/>
        <w:jc w:val="both"/>
      </w:pPr>
      <w:r>
        <w:rPr>
          <w:rFonts w:ascii="Times New Roman"/>
          <w:b w:val="false"/>
          <w:i w:val="false"/>
          <w:color w:val="000000"/>
          <w:sz w:val="28"/>
        </w:rPr>
        <w:t>
      тіндік типтеу саласындағы халықаралық ынтымақтастық жоспарын мен бағдарламасын әзірлеу, халықаралық жұмыс кеңестеріне қатысу, тест-реагенттерді, тіндік типтеу әдістерін жетілдіру үшін шетелдік зертханалармен анти-HLA сарысуын алмасу;</w:t>
      </w:r>
    </w:p>
    <w:bookmarkStart w:name="z35" w:id="34"/>
    <w:p>
      <w:pPr>
        <w:spacing w:after="0"/>
        <w:ind w:left="0"/>
        <w:jc w:val="both"/>
      </w:pPr>
      <w:r>
        <w:rPr>
          <w:rFonts w:ascii="Times New Roman"/>
          <w:b w:val="false"/>
          <w:i w:val="false"/>
          <w:color w:val="000000"/>
          <w:sz w:val="28"/>
        </w:rPr>
        <w:t>
      10) жергілікті зертхананың ұйымдастырушылық және консультациялық функциялары:</w:t>
      </w:r>
    </w:p>
    <w:bookmarkEnd w:id="34"/>
    <w:p>
      <w:pPr>
        <w:spacing w:after="0"/>
        <w:ind w:left="0"/>
        <w:jc w:val="both"/>
      </w:pPr>
      <w:r>
        <w:rPr>
          <w:rFonts w:ascii="Times New Roman"/>
          <w:b w:val="false"/>
          <w:i w:val="false"/>
          <w:color w:val="000000"/>
          <w:sz w:val="28"/>
        </w:rPr>
        <w:t>
      денсаулық сақтау ұйымдары қызметкерлерінің тіндерді иммунологиялық типтеу мәселелері бойынша біліктілігін арттыру жоспарларын құруға қатысу;</w:t>
      </w:r>
    </w:p>
    <w:p>
      <w:pPr>
        <w:spacing w:after="0"/>
        <w:ind w:left="0"/>
        <w:jc w:val="both"/>
      </w:pPr>
      <w:r>
        <w:rPr>
          <w:rFonts w:ascii="Times New Roman"/>
          <w:b w:val="false"/>
          <w:i w:val="false"/>
          <w:color w:val="000000"/>
          <w:sz w:val="28"/>
        </w:rPr>
        <w:t>
      иммунологиялық зерттеулердің клиникалық мәні мәселелері бойынша түсіндіру жұмысын ұйымдастыру;</w:t>
      </w:r>
    </w:p>
    <w:p>
      <w:pPr>
        <w:spacing w:after="0"/>
        <w:ind w:left="0"/>
        <w:jc w:val="both"/>
      </w:pPr>
      <w:r>
        <w:rPr>
          <w:rFonts w:ascii="Times New Roman"/>
          <w:b w:val="false"/>
          <w:i w:val="false"/>
          <w:color w:val="000000"/>
          <w:sz w:val="28"/>
        </w:rPr>
        <w:t>
      Орталық зертханада атқарылған жұмыс туралы есеп беру.</w:t>
      </w:r>
    </w:p>
    <w:bookmarkStart w:name="z36" w:id="35"/>
    <w:p>
      <w:pPr>
        <w:spacing w:after="0"/>
        <w:ind w:left="0"/>
        <w:jc w:val="left"/>
      </w:pPr>
      <w:r>
        <w:rPr>
          <w:rFonts w:ascii="Times New Roman"/>
          <w:b/>
          <w:i w:val="false"/>
          <w:color w:val="000000"/>
        </w:rPr>
        <w:t xml:space="preserve"> 4-тарау. HLA-зертханаларының ұйымдастырушылық қызметі</w:t>
      </w:r>
    </w:p>
    <w:bookmarkEnd w:id="35"/>
    <w:bookmarkStart w:name="z37" w:id="36"/>
    <w:p>
      <w:pPr>
        <w:spacing w:after="0"/>
        <w:ind w:left="0"/>
        <w:jc w:val="both"/>
      </w:pPr>
      <w:r>
        <w:rPr>
          <w:rFonts w:ascii="Times New Roman"/>
          <w:b w:val="false"/>
          <w:i w:val="false"/>
          <w:color w:val="000000"/>
          <w:sz w:val="28"/>
        </w:rPr>
        <w:t>
      8. Жергілікті зертхананы Тіндерді (тіндердің бөліктерін) және (немесе) ағзаларды (ағзалардың бөліктерін) иммунологиялық типтеудің орталық зертханасында мамандандырудан өткен, лауазымға заңнамада белгіленген тәртіппен тағайындалатын адам басқарады.</w:t>
      </w:r>
    </w:p>
    <w:bookmarkEnd w:id="36"/>
    <w:bookmarkStart w:name="z38" w:id="37"/>
    <w:p>
      <w:pPr>
        <w:spacing w:after="0"/>
        <w:ind w:left="0"/>
        <w:jc w:val="both"/>
      </w:pPr>
      <w:r>
        <w:rPr>
          <w:rFonts w:ascii="Times New Roman"/>
          <w:b w:val="false"/>
          <w:i w:val="false"/>
          <w:color w:val="000000"/>
          <w:sz w:val="28"/>
        </w:rPr>
        <w:t>
      9. HLA-зертхананың тіндердің үйлесімділігін анықтау нәтижелері тек медициналық денсаулық сақтау ұйымының өкіліне (емдеуші дәрігерге немесе сенімхат болған жағдайда курьерге) беріледі және нәтижелерді әлеуетті донорға немесе реципиентке беруге жол берілмейді.</w:t>
      </w:r>
    </w:p>
    <w:bookmarkEnd w:id="37"/>
    <w:bookmarkStart w:name="z39" w:id="38"/>
    <w:p>
      <w:pPr>
        <w:spacing w:after="0"/>
        <w:ind w:left="0"/>
        <w:jc w:val="both"/>
      </w:pPr>
      <w:r>
        <w:rPr>
          <w:rFonts w:ascii="Times New Roman"/>
          <w:b w:val="false"/>
          <w:i w:val="false"/>
          <w:color w:val="000000"/>
          <w:sz w:val="28"/>
        </w:rPr>
        <w:t>
      10. HLA-зертханалары жұмыс нәтижелерін электрондық түрде берген кезде қорғалған интернет-арналарды және файлды парольмен қосымша қорғауды пайдаланады.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