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b438" w14:textId="9f4b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1 сәуірдегі № 46 қаулысы. Қазақстан Республикасының Әділет министрлігінде 2019 жылғы 16 сәуірде № 18516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15685 болып тіркелген, 2017 жылғы 27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43-қаулыға сәйкес бекітілген "Бірыңғай жинақтаушы зейнетақы қоры салымшысының (алушысының) зейнетақы жинақтарының (инвестициялық кірісін ескере отырып) жай-күйі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Тәуекелдер басқармасы (Избасаров А.О.)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М.Е. Әбілқасымоваға жүктелсін.</w:t>
      </w:r>
    </w:p>
    <w:bookmarkEnd w:id="9"/>
    <w:bookmarkStart w:name="z11" w:id="10"/>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 сәуірдегі</w:t>
            </w:r>
            <w:r>
              <w:br/>
            </w:r>
            <w:r>
              <w:rPr>
                <w:rFonts w:ascii="Times New Roman"/>
                <w:b w:val="false"/>
                <w:i w:val="false"/>
                <w:color w:val="000000"/>
                <w:sz w:val="20"/>
              </w:rPr>
              <w:t>№ 46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2017 жылғы 31 шілдедегі </w:t>
            </w:r>
            <w:r>
              <w:br/>
            </w:r>
            <w:r>
              <w:rPr>
                <w:rFonts w:ascii="Times New Roman"/>
                <w:b w:val="false"/>
                <w:i w:val="false"/>
                <w:color w:val="000000"/>
                <w:sz w:val="20"/>
              </w:rPr>
              <w:t xml:space="preserve">№ 149 қаулысына </w:t>
            </w:r>
            <w:r>
              <w:br/>
            </w:r>
            <w:r>
              <w:rPr>
                <w:rFonts w:ascii="Times New Roman"/>
                <w:b w:val="false"/>
                <w:i w:val="false"/>
                <w:color w:val="000000"/>
                <w:sz w:val="20"/>
              </w:rPr>
              <w:t>43-қосымша</w:t>
            </w:r>
          </w:p>
        </w:tc>
      </w:tr>
    </w:tbl>
    <w:bookmarkStart w:name="z14" w:id="11"/>
    <w:p>
      <w:pPr>
        <w:spacing w:after="0"/>
        <w:ind w:left="0"/>
        <w:jc w:val="left"/>
      </w:pPr>
      <w:r>
        <w:rPr>
          <w:rFonts w:ascii="Times New Roman"/>
          <w:b/>
          <w:i w:val="false"/>
          <w:color w:val="000000"/>
        </w:rPr>
        <w:t xml:space="preserve"> "Бірыңғай жинақтаушы зейнетақы қоры салымшысының (алушысының) зейнетақы жинақтарының (инвестициялық кірісін ескере отырып) жай-күйі туралы ақпарат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Көрсетілетін қызметті берушінің атауы: "Бірыңғай жинақтаушы зейнетақы қоры" акционерлік қоғамы.</w:t>
      </w:r>
    </w:p>
    <w:bookmarkEnd w:id="13"/>
    <w:p>
      <w:pPr>
        <w:spacing w:after="0"/>
        <w:ind w:left="0"/>
        <w:jc w:val="both"/>
      </w:pPr>
      <w:r>
        <w:rPr>
          <w:rFonts w:ascii="Times New Roman"/>
          <w:b w:val="false"/>
          <w:i w:val="false"/>
          <w:color w:val="000000"/>
          <w:sz w:val="28"/>
        </w:rPr>
        <w:t>
      "Бірыңғай жинақтаушы зейнетақы қоры салымшысының (алушысының) зейнетақы жинақтарының (инвестициялық кірісін ескере отырып) жай-күйі туралы ақпарат беру" мемлекеттік көрсетілетін қызметті "Бірыңғай жинақтаушы зейнетақы қоры" акционерлік қоғамы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және (немесе) қағаз түрінде.</w:t>
      </w:r>
    </w:p>
    <w:bookmarkStart w:name="z17" w:id="14"/>
    <w:p>
      <w:pPr>
        <w:spacing w:after="0"/>
        <w:ind w:left="0"/>
        <w:jc w:val="both"/>
      </w:pPr>
      <w:r>
        <w:rPr>
          <w:rFonts w:ascii="Times New Roman"/>
          <w:b w:val="false"/>
          <w:i w:val="false"/>
          <w:color w:val="000000"/>
          <w:sz w:val="28"/>
        </w:rPr>
        <w:t>
      3. Мемлекеттік қызмет көрсету нәтижесі:</w:t>
      </w:r>
    </w:p>
    <w:bookmarkEnd w:id="14"/>
    <w:p>
      <w:pPr>
        <w:spacing w:after="0"/>
        <w:ind w:left="0"/>
        <w:jc w:val="both"/>
      </w:pPr>
      <w:r>
        <w:rPr>
          <w:rFonts w:ascii="Times New Roman"/>
          <w:b w:val="false"/>
          <w:i w:val="false"/>
          <w:color w:val="000000"/>
          <w:sz w:val="28"/>
        </w:rPr>
        <w:t>
      1) көрсетілетін қызметті алушы көрсетілетін қызметті берушіге жеке өтініш жасаған кезде – көрсетілетін қызметті берушіден салымшысының (алушысының) зейнетақы жинақтарының жай-күйі туралы, көрсетілетін қызметті берушінің уәкілетті тұлғасының электрондық цифрлық қолтаңбамен (бұдан әрі – ЭЦҚ) куәландырылған және қағаз тасымалдағышта басып шығарылған электрондық құжат нысанында ресімделген ақпарат алу;</w:t>
      </w:r>
    </w:p>
    <w:p>
      <w:pPr>
        <w:spacing w:after="0"/>
        <w:ind w:left="0"/>
        <w:jc w:val="both"/>
      </w:pPr>
      <w:r>
        <w:rPr>
          <w:rFonts w:ascii="Times New Roman"/>
          <w:b w:val="false"/>
          <w:i w:val="false"/>
          <w:color w:val="000000"/>
          <w:sz w:val="28"/>
        </w:rPr>
        <w:t>
      2) портал арқылы өтініш жасаған кезде – көрсетілетін қызметті берушіден салымшының (алушының) зейнетақы жинақтарының жай-күйі туралы ақпаратты көрсетілетін қызметті берушінің ЭЦҚ-мен куәландырылған және көрсетілетін қызметті алушының "жеке кабинетіне" жіберілген электрондық құжат нысанында алу.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8"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19" w:id="16"/>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басталуына негіз: көрсетілетін қызметті алушының мемлекеттік көрсетілетін қызметті алу үшін Нормативтік құқықтық актілерді мемлекеттік тіркеу тізілімінде № 11534 болып тіркелген Қазақстан Республикасы Ұлттық Банкі Басқармасының 2015 жылғы 30 сәуірдегі № 71 қаулысымен бекітілген "Бірыңғай жинақтаушы зейнетақы қоры салымшысының (алушысының) зейнетақы жинақтарының (инвестициялық кірісін ескере отырып) жай-күйі туралы ақпарат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9, 10-тармақтарында көзделген құжаттарды ұсынуы.</w:t>
      </w:r>
    </w:p>
    <w:bookmarkEnd w:id="16"/>
    <w:bookmarkStart w:name="z20" w:id="17"/>
    <w:p>
      <w:pPr>
        <w:spacing w:after="0"/>
        <w:ind w:left="0"/>
        <w:jc w:val="both"/>
      </w:pPr>
      <w:r>
        <w:rPr>
          <w:rFonts w:ascii="Times New Roman"/>
          <w:b w:val="false"/>
          <w:i w:val="false"/>
          <w:color w:val="000000"/>
          <w:sz w:val="28"/>
        </w:rPr>
        <w:t xml:space="preserve">
      5. Мемлекеттік қызметті көрсету мерзімдері </w:t>
      </w:r>
      <w:r>
        <w:rPr>
          <w:rFonts w:ascii="Times New Roman"/>
          <w:b w:val="false"/>
          <w:i w:val="false"/>
          <w:color w:val="000000"/>
          <w:sz w:val="28"/>
        </w:rPr>
        <w:t>стандарттың</w:t>
      </w:r>
      <w:r>
        <w:rPr>
          <w:rFonts w:ascii="Times New Roman"/>
          <w:b w:val="false"/>
          <w:i w:val="false"/>
          <w:color w:val="000000"/>
          <w:sz w:val="28"/>
        </w:rPr>
        <w:t xml:space="preserve"> 4-тармағында көрсетілген.</w:t>
      </w:r>
    </w:p>
    <w:bookmarkEnd w:id="17"/>
    <w:bookmarkStart w:name="z21" w:id="18"/>
    <w:p>
      <w:pPr>
        <w:spacing w:after="0"/>
        <w:ind w:left="0"/>
        <w:jc w:val="both"/>
      </w:pPr>
      <w:r>
        <w:rPr>
          <w:rFonts w:ascii="Times New Roman"/>
          <w:b w:val="false"/>
          <w:i w:val="false"/>
          <w:color w:val="000000"/>
          <w:sz w:val="28"/>
        </w:rPr>
        <w:t>
      6. Көрсетілетін қызметті алушы көрсетілетін қызметті берушіге жеке өтініш жасаған кезде мемлекеттік қызмет көрсету процесінің құрамына кіретін әрбір рәсімнің (іс-қимылдың) мазмұны, оны орындау ұзақтығы, сондай-ақ келесі рәсімді (іс-қимылды) орындауды бастауға негіз болатын мемлекеттік қызмет көрсету бойынша рәсімнің (іс-қимылдың) нәтижесі:</w:t>
      </w:r>
    </w:p>
    <w:bookmarkEnd w:id="18"/>
    <w:p>
      <w:pPr>
        <w:spacing w:after="0"/>
        <w:ind w:left="0"/>
        <w:jc w:val="both"/>
      </w:pPr>
      <w:r>
        <w:rPr>
          <w:rFonts w:ascii="Times New Roman"/>
          <w:b w:val="false"/>
          <w:i w:val="false"/>
          <w:color w:val="000000"/>
          <w:sz w:val="28"/>
        </w:rPr>
        <w:t>
      1) көрсетілетін қызметті алушы жеке өтініш жасаған кезде:</w:t>
      </w:r>
    </w:p>
    <w:p>
      <w:pPr>
        <w:spacing w:after="0"/>
        <w:ind w:left="0"/>
        <w:jc w:val="both"/>
      </w:pPr>
      <w:r>
        <w:rPr>
          <w:rFonts w:ascii="Times New Roman"/>
          <w:b w:val="false"/>
          <w:i w:val="false"/>
          <w:color w:val="000000"/>
          <w:sz w:val="28"/>
        </w:rPr>
        <w:t>
      көрсетілетін қызметті алушының, сенім білдірілген адамның, көрсетілетін қызметті алушының заң бойынша немесе өсиет бойынша мұрагерлікке құқығы туралы куәлікке сәйкес мұрагер болып табылатын заңды өкілінің жеке басын куәландыратын құжаттың түпнұсқасын ұсынылған құжаттың қолданылу мерзіміне тексеру;</w:t>
      </w:r>
    </w:p>
    <w:p>
      <w:pPr>
        <w:spacing w:after="0"/>
        <w:ind w:left="0"/>
        <w:jc w:val="both"/>
      </w:pPr>
      <w:r>
        <w:rPr>
          <w:rFonts w:ascii="Times New Roman"/>
          <w:b w:val="false"/>
          <w:i w:val="false"/>
          <w:color w:val="000000"/>
          <w:sz w:val="28"/>
        </w:rPr>
        <w:t>
      2) сенім білдірілген адам өтініш жасаған кезде:</w:t>
      </w:r>
    </w:p>
    <w:p>
      <w:pPr>
        <w:spacing w:after="0"/>
        <w:ind w:left="0"/>
        <w:jc w:val="both"/>
      </w:pPr>
      <w:r>
        <w:rPr>
          <w:rFonts w:ascii="Times New Roman"/>
          <w:b w:val="false"/>
          <w:i w:val="false"/>
          <w:color w:val="000000"/>
          <w:sz w:val="28"/>
        </w:rPr>
        <w:t>
      құжаттардың түпнұсқасын немесе нотариат куәландырған көшірмелерінің дұрыс ресімделуін және мазмұнын тексеру;</w:t>
      </w:r>
    </w:p>
    <w:p>
      <w:pPr>
        <w:spacing w:after="0"/>
        <w:ind w:left="0"/>
        <w:jc w:val="both"/>
      </w:pPr>
      <w:r>
        <w:rPr>
          <w:rFonts w:ascii="Times New Roman"/>
          <w:b w:val="false"/>
          <w:i w:val="false"/>
          <w:color w:val="000000"/>
          <w:sz w:val="28"/>
        </w:rPr>
        <w:t>
      зейнетақы жинақтарының жай-күйі туралы ақпаратты алуға берілген сенімхаттың түпнұсқасында не нотариат куәландырған көшірмесінде көрсетілген сенім білдірілген адамның өкілеттіктерін, сондай-ақ сенімхаттың қолданылу мерзімін тексеру;</w:t>
      </w:r>
    </w:p>
    <w:p>
      <w:pPr>
        <w:spacing w:after="0"/>
        <w:ind w:left="0"/>
        <w:jc w:val="both"/>
      </w:pPr>
      <w:r>
        <w:rPr>
          <w:rFonts w:ascii="Times New Roman"/>
          <w:b w:val="false"/>
          <w:i w:val="false"/>
          <w:color w:val="000000"/>
          <w:sz w:val="28"/>
        </w:rPr>
        <w:t>
      сенім білдірілген адамның сенімхаттың түпнұсқасында не нотариат куәландырған көшірмесінде көрсетілген тегінің, атының, әкесінің атының (бар болса) сенім білдірілген адамның жеке басын куәландыратын құжатта көрсетілген тегіне, атына, әкесінің атына (бар болса) сәйкес келуін тексеру;</w:t>
      </w:r>
    </w:p>
    <w:p>
      <w:pPr>
        <w:spacing w:after="0"/>
        <w:ind w:left="0"/>
        <w:jc w:val="both"/>
      </w:pPr>
      <w:r>
        <w:rPr>
          <w:rFonts w:ascii="Times New Roman"/>
          <w:b w:val="false"/>
          <w:i w:val="false"/>
          <w:color w:val="000000"/>
          <w:sz w:val="28"/>
        </w:rPr>
        <w:t>
      3) заңды өкіл өтініш жасаған кезде: оның жеке басын куәландыратын құжатта көрсетілген тегінің, атының, әкесінің атының (бар болса) заңды өкілдің мәртебесін растайтын құжаттағы деректерге сәйкес келуін тексеру;</w:t>
      </w:r>
    </w:p>
    <w:p>
      <w:pPr>
        <w:spacing w:after="0"/>
        <w:ind w:left="0"/>
        <w:jc w:val="both"/>
      </w:pPr>
      <w:r>
        <w:rPr>
          <w:rFonts w:ascii="Times New Roman"/>
          <w:b w:val="false"/>
          <w:i w:val="false"/>
          <w:color w:val="000000"/>
          <w:sz w:val="28"/>
        </w:rPr>
        <w:t>
      4) заң бойынша немесе аманат бойынша мұраға құқық туралы куәлікке (түпнұсқасы немесе нотариат куәландырған көшірмесі) сәйкес мұрагер болып табылатын адам өтініш жасаған кезде: аманатта не заң бойынша немесе аманат бойынша мұраға құқық туралы куәлікте көрсетілген өтініш жасаған көрсетілетін қызметті алушы деректемелерінің (тегі, аты, әкесінің аты (бар болса), туған күні) оның жеке басын куәландыратын құжат түпнұсқасындағы деректемелерге (тегі, аты, әкесінің аты (бар болса), туған күні) сәйкес келуін тексеру;</w:t>
      </w:r>
    </w:p>
    <w:p>
      <w:pPr>
        <w:spacing w:after="0"/>
        <w:ind w:left="0"/>
        <w:jc w:val="both"/>
      </w:pPr>
      <w:r>
        <w:rPr>
          <w:rFonts w:ascii="Times New Roman"/>
          <w:b w:val="false"/>
          <w:i w:val="false"/>
          <w:color w:val="000000"/>
          <w:sz w:val="28"/>
        </w:rPr>
        <w:t>
      5) мыналардың:</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(түпнұсқасы) деректемелерінің (тегі, аты, әкесінің аты (бар болса), туған күні және жеке сәйкестендіру нөмірі (бұдан әрі – ЖСН) көрсетілетін қызметті берушінің автоматтандырылған ақпараттық жүйесіндегі (бұдан әрі – ААЖ) деректемелерге;</w:t>
      </w:r>
    </w:p>
    <w:p>
      <w:pPr>
        <w:spacing w:after="0"/>
        <w:ind w:left="0"/>
        <w:jc w:val="both"/>
      </w:pPr>
      <w:r>
        <w:rPr>
          <w:rFonts w:ascii="Times New Roman"/>
          <w:b w:val="false"/>
          <w:i w:val="false"/>
          <w:color w:val="000000"/>
          <w:sz w:val="28"/>
        </w:rPr>
        <w:t>
      қайтыс болған адамның қайтыс болуы туралы куәліктің түпнұсқасында немесе нотариат куәландырған көшірмесінде және аманаттың не заң бойынша немесе аманат бойынша мұраға құқық туралы куәліктің түпнұсқасында немесе нотариат куәландырған көшірмесінде көрсетілген деректемелерінің (тегі, аты, әкесінің аты (бар болса), туған күні) ААЖ-дағы деректемелерге сәйкес келуін тексеру;</w:t>
      </w:r>
    </w:p>
    <w:p>
      <w:pPr>
        <w:spacing w:after="0"/>
        <w:ind w:left="0"/>
        <w:jc w:val="both"/>
      </w:pPr>
      <w:r>
        <w:rPr>
          <w:rFonts w:ascii="Times New Roman"/>
          <w:b w:val="false"/>
          <w:i w:val="false"/>
          <w:color w:val="000000"/>
          <w:sz w:val="28"/>
        </w:rPr>
        <w:t>
      6) деректер сәйкес келген және ААЖ-дағы ашық (қолданыстағы) жеке зейнетақы шоты (бұдан әрі – ЖЗШ) болған жағдайда, ААЖ арқылы қалыптастырылған және көрсетілетін қызметті берушінің уәкілетті адамының ЭЦҚ-мен куәландырылған ЖЗШ-дан үзінді көшірмені басып шығару;</w:t>
      </w:r>
    </w:p>
    <w:p>
      <w:pPr>
        <w:spacing w:after="0"/>
        <w:ind w:left="0"/>
        <w:jc w:val="both"/>
      </w:pPr>
      <w:r>
        <w:rPr>
          <w:rFonts w:ascii="Times New Roman"/>
          <w:b w:val="false"/>
          <w:i w:val="false"/>
          <w:color w:val="000000"/>
          <w:sz w:val="28"/>
        </w:rPr>
        <w:t>
      7) ЖЗШ-дан үзінді көшірмені барлық көзделген бағандарды толтыра отырып және көрсетілетін қызметті алушының, сенім білдірілген адамның, заңды өкілдің, заң бойынша немесе аманат бойынша мұраға құқық туралы куәлікке сәйкес мұрагер болып табылатын көрсетілетін қызметті алушының қолдарын қойдыра отырып ЖЗШ-дан үзінді көшірмелерді тіркеу журналында тіркеу;</w:t>
      </w:r>
    </w:p>
    <w:p>
      <w:pPr>
        <w:spacing w:after="0"/>
        <w:ind w:left="0"/>
        <w:jc w:val="both"/>
      </w:pPr>
      <w:r>
        <w:rPr>
          <w:rFonts w:ascii="Times New Roman"/>
          <w:b w:val="false"/>
          <w:i w:val="false"/>
          <w:color w:val="000000"/>
          <w:sz w:val="28"/>
        </w:rPr>
        <w:t>
      8) ЖЗШ-дан үзінді көшірмені көрсетілетін қызметті алушыға, сенім білдірілген адамға, заңды өкілге, заң бойынша немесе аманат бойынша мұраға құқық туралы куәлікке сәйкес мұрагер болып табылатын көрсетілетін қызметті алушыға беру.</w:t>
      </w:r>
    </w:p>
    <w:bookmarkStart w:name="z22" w:id="1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23" w:id="2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берушінің филиалдары;</w:t>
      </w:r>
    </w:p>
    <w:p>
      <w:pPr>
        <w:spacing w:after="0"/>
        <w:ind w:left="0"/>
        <w:jc w:val="both"/>
      </w:pPr>
      <w:r>
        <w:rPr>
          <w:rFonts w:ascii="Times New Roman"/>
          <w:b w:val="false"/>
          <w:i w:val="false"/>
          <w:color w:val="000000"/>
          <w:sz w:val="28"/>
        </w:rPr>
        <w:t>
      2) көрсетілетін қызметті берушінің дербес құрылымдық бөлімшелері.</w:t>
      </w:r>
    </w:p>
    <w:bookmarkStart w:name="z24" w:id="21"/>
    <w:p>
      <w:pPr>
        <w:spacing w:after="0"/>
        <w:ind w:left="0"/>
        <w:jc w:val="both"/>
      </w:pPr>
      <w:r>
        <w:rPr>
          <w:rFonts w:ascii="Times New Roman"/>
          <w:b w:val="false"/>
          <w:i w:val="false"/>
          <w:color w:val="000000"/>
          <w:sz w:val="28"/>
        </w:rPr>
        <w:t xml:space="preserve">
      8. Көрсетілетін қызметті алушы көрсетілетін қызметті берушіге өтініш жасаған кезде рәсімдердің (іс-қимылдардың) реттілігін сипаттау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жазылған.</w:t>
      </w:r>
    </w:p>
    <w:bookmarkEnd w:id="21"/>
    <w:bookmarkStart w:name="z25" w:id="22"/>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22"/>
    <w:bookmarkStart w:name="z26" w:id="23"/>
    <w:p>
      <w:pPr>
        <w:spacing w:after="0"/>
        <w:ind w:left="0"/>
        <w:jc w:val="both"/>
      </w:pPr>
      <w:r>
        <w:rPr>
          <w:rFonts w:ascii="Times New Roman"/>
          <w:b w:val="false"/>
          <w:i w:val="false"/>
          <w:color w:val="000000"/>
          <w:sz w:val="28"/>
        </w:rPr>
        <w:t>
      9. Мемлекеттік қызмет портал арқылы көрсетілген кезде көрсетілетін қызметті берушінің және көрсетілетін қызметті алушының өтініш беру тәртібінің және рәсімдері (іс-қимылдары) жүйелілігінің сипаты:</w:t>
      </w:r>
    </w:p>
    <w:bookmarkEnd w:id="23"/>
    <w:p>
      <w:pPr>
        <w:spacing w:after="0"/>
        <w:ind w:left="0"/>
        <w:jc w:val="both"/>
      </w:pPr>
      <w:r>
        <w:rPr>
          <w:rFonts w:ascii="Times New Roman"/>
          <w:b w:val="false"/>
          <w:i w:val="false"/>
          <w:color w:val="000000"/>
          <w:sz w:val="28"/>
        </w:rPr>
        <w:t>
      1) көрсетілетін қызметті алушы порталға тіркеуді жүзеге асырады (мемлекеттік көрсетілетін қызметті бірінші рет алған кезде);</w:t>
      </w:r>
    </w:p>
    <w:p>
      <w:pPr>
        <w:spacing w:after="0"/>
        <w:ind w:left="0"/>
        <w:jc w:val="both"/>
      </w:pPr>
      <w:r>
        <w:rPr>
          <w:rFonts w:ascii="Times New Roman"/>
          <w:b w:val="false"/>
          <w:i w:val="false"/>
          <w:color w:val="000000"/>
          <w:sz w:val="28"/>
        </w:rPr>
        <w:t>
      2) 1-процесс – көрсетілетін қызметті алушыны авторизациялау жүзеге асырылады;</w:t>
      </w:r>
    </w:p>
    <w:p>
      <w:pPr>
        <w:spacing w:after="0"/>
        <w:ind w:left="0"/>
        <w:jc w:val="both"/>
      </w:pPr>
      <w:r>
        <w:rPr>
          <w:rFonts w:ascii="Times New Roman"/>
          <w:b w:val="false"/>
          <w:i w:val="false"/>
          <w:color w:val="000000"/>
          <w:sz w:val="28"/>
        </w:rPr>
        <w:t>
      3) 2-процесс – көрсетілетін қызметті алушының деректерінде орын алып отырған бұзушылықтарға байланысты авторизациялаудан бас тарту туралы хабарды қалыптастыру;</w:t>
      </w:r>
    </w:p>
    <w:p>
      <w:pPr>
        <w:spacing w:after="0"/>
        <w:ind w:left="0"/>
        <w:jc w:val="both"/>
      </w:pPr>
      <w:r>
        <w:rPr>
          <w:rFonts w:ascii="Times New Roman"/>
          <w:b w:val="false"/>
          <w:i w:val="false"/>
          <w:color w:val="000000"/>
          <w:sz w:val="28"/>
        </w:rPr>
        <w:t>
      4) 3-процесс – көрсетілетін қызметті алушының ұялы байланыс операторы берген абоненттік нөмірін тіркеген және порталдың есептік жазбасына қосқан жағдайда көрсетілетін қызметті алушының осы регламентте көрсетілген қызметтерді таңдауы, сондай-ақ көрсетілетін қызметті алушының сұрау салуды куәландыру (қол қою) үшін ЭЦҚ кілтін не бірреттік парольді таңдауы;</w:t>
      </w:r>
    </w:p>
    <w:p>
      <w:pPr>
        <w:spacing w:after="0"/>
        <w:ind w:left="0"/>
        <w:jc w:val="both"/>
      </w:pPr>
      <w:r>
        <w:rPr>
          <w:rFonts w:ascii="Times New Roman"/>
          <w:b w:val="false"/>
          <w:i w:val="false"/>
          <w:color w:val="000000"/>
          <w:sz w:val="28"/>
        </w:rPr>
        <w:t>
      5) 4-процесс – сәйкестендіру деректеріне және "Қазақстан Республикасының Ұлттық куәландыру орталығы" ақпараттық жүйесіндегі (бұдан әрі – ҰКО АЖ) көрсетілетін қызметті алушының ЭЦҚ тіркеу куәлігінің қолданылу мерзімі туралы не көрсетілетін қызметті алушының мобильді азаматтар базасында тіркеуде болуы туралы деректерге сұрау салу;</w:t>
      </w:r>
    </w:p>
    <w:p>
      <w:pPr>
        <w:spacing w:after="0"/>
        <w:ind w:left="0"/>
        <w:jc w:val="both"/>
      </w:pPr>
      <w:r>
        <w:rPr>
          <w:rFonts w:ascii="Times New Roman"/>
          <w:b w:val="false"/>
          <w:i w:val="false"/>
          <w:color w:val="000000"/>
          <w:sz w:val="28"/>
        </w:rPr>
        <w:t>
      6) 1-талап – ЭЦҚ тіркеу куәлігінің қолданылу мерзімін және тізімде қайтарып алынған (жойылған) тіркеу куәліктерінің болмауын, тіркеу куәлігінде Ұлттық куәландыру орталығын қолданудың тиісті қажетті саясатының болуын, сондай-ақ сәйкестендіру деректеріне (сұрау салуда көрсетілген ЖСН, тегі, аты, әкесінің аты (бар болса) және ЭЦҚ тіркеу куәлігінде көрсетілген ЖСН, тегі, аты, әкесінің аты (бар болса) арасындағы) сәйкес болуын тексеру не көрсетілетін қызметті алушының мобильді азаматтар базасында тіркеуде болуын тексеру;</w:t>
      </w:r>
    </w:p>
    <w:p>
      <w:pPr>
        <w:spacing w:after="0"/>
        <w:ind w:left="0"/>
        <w:jc w:val="both"/>
      </w:pPr>
      <w:r>
        <w:rPr>
          <w:rFonts w:ascii="Times New Roman"/>
          <w:b w:val="false"/>
          <w:i w:val="false"/>
          <w:color w:val="000000"/>
          <w:sz w:val="28"/>
        </w:rPr>
        <w:t>
      7) 5-процесс – көрсетілетін қызметті алушының ЭЦҚ түпнұсқа болуының расталмауына немесе деректердің сәйкес болмауына байланысты не көрсетілетін қызметті алушының мобильді азаматтар базасында тіркеуде болмауына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8) 6-процесс – көрсетілетін қызметті алушының ЭЦҚ не бірреттік паролі арқылы сұрау салуды куәландыру (қол қою);</w:t>
      </w:r>
    </w:p>
    <w:p>
      <w:pPr>
        <w:spacing w:after="0"/>
        <w:ind w:left="0"/>
        <w:jc w:val="both"/>
      </w:pPr>
      <w:r>
        <w:rPr>
          <w:rFonts w:ascii="Times New Roman"/>
          <w:b w:val="false"/>
          <w:i w:val="false"/>
          <w:color w:val="000000"/>
          <w:sz w:val="28"/>
        </w:rPr>
        <w:t>
      9) 7-процесс – ҰКО АЖ-дан және ААЖ-дан қажетті деректерге сұрау салу;</w:t>
      </w:r>
    </w:p>
    <w:p>
      <w:pPr>
        <w:spacing w:after="0"/>
        <w:ind w:left="0"/>
        <w:jc w:val="both"/>
      </w:pPr>
      <w:r>
        <w:rPr>
          <w:rFonts w:ascii="Times New Roman"/>
          <w:b w:val="false"/>
          <w:i w:val="false"/>
          <w:color w:val="000000"/>
          <w:sz w:val="28"/>
        </w:rPr>
        <w:t>
      10) 2-талап – электрондық құжатты ЭЦҚ-ның дұрыстығына, сондай-ақ ҰКО АЖ-дан және ААЖ-дан түскен деректерді тексеру;</w:t>
      </w:r>
    </w:p>
    <w:p>
      <w:pPr>
        <w:spacing w:after="0"/>
        <w:ind w:left="0"/>
        <w:jc w:val="both"/>
      </w:pPr>
      <w:r>
        <w:rPr>
          <w:rFonts w:ascii="Times New Roman"/>
          <w:b w:val="false"/>
          <w:i w:val="false"/>
          <w:color w:val="000000"/>
          <w:sz w:val="28"/>
        </w:rPr>
        <w:t>
      11) 8-процесс – көрсетілетін қызметті алушының сұратылған деректерінің ҰКО АЖ-да және (немесе) ААЖ-да болмауына және (немесе) сәйкес келмеуіне байланысты сұратылған қызметтен бас тарту туралы хабарды қалыптастыру;</w:t>
      </w:r>
    </w:p>
    <w:p>
      <w:pPr>
        <w:spacing w:after="0"/>
        <w:ind w:left="0"/>
        <w:jc w:val="both"/>
      </w:pPr>
      <w:r>
        <w:rPr>
          <w:rFonts w:ascii="Times New Roman"/>
          <w:b w:val="false"/>
          <w:i w:val="false"/>
          <w:color w:val="000000"/>
          <w:sz w:val="28"/>
        </w:rPr>
        <w:t>
      12) 9-процесс – көрсетілетін қызметті алушының ААЖ-да қалыптастырылған көрсетілетін қызмет нәтижесін алуы. Электрондық құжат көрсетілетін қызметті берушінің уәкілетті адамының ЭЦҚ-ын пайдалана отырып қалыптастырылады.</w:t>
      </w:r>
    </w:p>
    <w:bookmarkStart w:name="z27" w:id="24"/>
    <w:p>
      <w:pPr>
        <w:spacing w:after="0"/>
        <w:ind w:left="0"/>
        <w:jc w:val="both"/>
      </w:pPr>
      <w:r>
        <w:rPr>
          <w:rFonts w:ascii="Times New Roman"/>
          <w:b w:val="false"/>
          <w:i w:val="false"/>
          <w:color w:val="000000"/>
          <w:sz w:val="28"/>
        </w:rPr>
        <w:t xml:space="preserve">
      10. Мемлекеттік қызмет портал арқылы көрсетілген кезде тартылған ақпараттық жүйелердің функционалдық өзара іс-қимылдарының диаграммасы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End w:id="24"/>
    <w:bookmarkStart w:name="z28" w:id="25"/>
    <w:p>
      <w:pPr>
        <w:spacing w:after="0"/>
        <w:ind w:left="0"/>
        <w:jc w:val="both"/>
      </w:pPr>
      <w:r>
        <w:rPr>
          <w:rFonts w:ascii="Times New Roman"/>
          <w:b w:val="false"/>
          <w:i w:val="false"/>
          <w:color w:val="000000"/>
          <w:sz w:val="28"/>
        </w:rPr>
        <w:t xml:space="preserve">
      11. Мемлекеттік қызмет көрсету бизнес-процестерінің анықтамалығы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жазылған.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 салымшысының </w:t>
            </w:r>
            <w:r>
              <w:br/>
            </w:r>
            <w:r>
              <w:rPr>
                <w:rFonts w:ascii="Times New Roman"/>
                <w:b w:val="false"/>
                <w:i w:val="false"/>
                <w:color w:val="000000"/>
                <w:sz w:val="20"/>
              </w:rPr>
              <w:t xml:space="preserve">(алушысының) зейнетақы </w:t>
            </w:r>
            <w:r>
              <w:br/>
            </w:r>
            <w:r>
              <w:rPr>
                <w:rFonts w:ascii="Times New Roman"/>
                <w:b w:val="false"/>
                <w:i w:val="false"/>
                <w:color w:val="000000"/>
                <w:sz w:val="20"/>
              </w:rPr>
              <w:t xml:space="preserve">жинақтарының (инвестициялық </w:t>
            </w:r>
            <w:r>
              <w:br/>
            </w:r>
            <w:r>
              <w:rPr>
                <w:rFonts w:ascii="Times New Roman"/>
                <w:b w:val="false"/>
                <w:i w:val="false"/>
                <w:color w:val="000000"/>
                <w:sz w:val="20"/>
              </w:rPr>
              <w:t xml:space="preserve">кірісін ескере отырып) жай-күйі </w:t>
            </w:r>
            <w:r>
              <w:br/>
            </w:r>
            <w:r>
              <w:rPr>
                <w:rFonts w:ascii="Times New Roman"/>
                <w:b w:val="false"/>
                <w:i w:val="false"/>
                <w:color w:val="000000"/>
                <w:sz w:val="20"/>
              </w:rPr>
              <w:t xml:space="preserve">туралы ақпарат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0" w:id="26"/>
    <w:p>
      <w:pPr>
        <w:spacing w:after="0"/>
        <w:ind w:left="0"/>
        <w:jc w:val="left"/>
      </w:pPr>
      <w:r>
        <w:rPr>
          <w:rFonts w:ascii="Times New Roman"/>
          <w:b/>
          <w:i w:val="false"/>
          <w:color w:val="000000"/>
        </w:rPr>
        <w:t xml:space="preserve"> Көрсетілетін қызметті алушы көрсетілетін қызметті берушіге өтініш жасаған кезде рәсімдердің (іс-қимылдардың) реттілігін сипаттау</w:t>
      </w:r>
    </w:p>
    <w:bookmarkEnd w:id="26"/>
    <w:p>
      <w:pPr>
        <w:spacing w:after="0"/>
        <w:ind w:left="0"/>
        <w:jc w:val="left"/>
      </w:pP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 салымшысының </w:t>
            </w:r>
            <w:r>
              <w:br/>
            </w:r>
            <w:r>
              <w:rPr>
                <w:rFonts w:ascii="Times New Roman"/>
                <w:b w:val="false"/>
                <w:i w:val="false"/>
                <w:color w:val="000000"/>
                <w:sz w:val="20"/>
              </w:rPr>
              <w:t xml:space="preserve">(алушысының) зейнетақы </w:t>
            </w:r>
            <w:r>
              <w:br/>
            </w:r>
            <w:r>
              <w:rPr>
                <w:rFonts w:ascii="Times New Roman"/>
                <w:b w:val="false"/>
                <w:i w:val="false"/>
                <w:color w:val="000000"/>
                <w:sz w:val="20"/>
              </w:rPr>
              <w:t xml:space="preserve">жинақтарының (инвестициялық </w:t>
            </w:r>
            <w:r>
              <w:br/>
            </w:r>
            <w:r>
              <w:rPr>
                <w:rFonts w:ascii="Times New Roman"/>
                <w:b w:val="false"/>
                <w:i w:val="false"/>
                <w:color w:val="000000"/>
                <w:sz w:val="20"/>
              </w:rPr>
              <w:t xml:space="preserve">кірісін ескере отырып) жай-күйі </w:t>
            </w:r>
            <w:r>
              <w:br/>
            </w:r>
            <w:r>
              <w:rPr>
                <w:rFonts w:ascii="Times New Roman"/>
                <w:b w:val="false"/>
                <w:i w:val="false"/>
                <w:color w:val="000000"/>
                <w:sz w:val="20"/>
              </w:rPr>
              <w:t xml:space="preserve">туралы ақпарат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2" w:id="27"/>
    <w:p>
      <w:pPr>
        <w:spacing w:after="0"/>
        <w:ind w:left="0"/>
        <w:jc w:val="left"/>
      </w:pPr>
      <w:r>
        <w:rPr>
          <w:rFonts w:ascii="Times New Roman"/>
          <w:b/>
          <w:i w:val="false"/>
          <w:color w:val="000000"/>
        </w:rPr>
        <w:t xml:space="preserve"> Мемлекеттік қызмет портал арқылы көрсетілген кезде тартылған ақпараттық жүйелердің функционалдық өзара іс-қимылдарының диаграммасы</w:t>
      </w:r>
    </w:p>
    <w:bookmarkEnd w:id="27"/>
    <w:p>
      <w:pPr>
        <w:spacing w:after="0"/>
        <w:ind w:left="0"/>
        <w:jc w:val="left"/>
      </w:pP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 салымшысының </w:t>
            </w:r>
            <w:r>
              <w:br/>
            </w:r>
            <w:r>
              <w:rPr>
                <w:rFonts w:ascii="Times New Roman"/>
                <w:b w:val="false"/>
                <w:i w:val="false"/>
                <w:color w:val="000000"/>
                <w:sz w:val="20"/>
              </w:rPr>
              <w:t xml:space="preserve">(алушысының) зейнетақы </w:t>
            </w:r>
            <w:r>
              <w:br/>
            </w:r>
            <w:r>
              <w:rPr>
                <w:rFonts w:ascii="Times New Roman"/>
                <w:b w:val="false"/>
                <w:i w:val="false"/>
                <w:color w:val="000000"/>
                <w:sz w:val="20"/>
              </w:rPr>
              <w:t xml:space="preserve">жинақтарының (инвестициялық </w:t>
            </w:r>
            <w:r>
              <w:br/>
            </w:r>
            <w:r>
              <w:rPr>
                <w:rFonts w:ascii="Times New Roman"/>
                <w:b w:val="false"/>
                <w:i w:val="false"/>
                <w:color w:val="000000"/>
                <w:sz w:val="20"/>
              </w:rPr>
              <w:t xml:space="preserve">кірісін ескере отырып) жай-күйі </w:t>
            </w:r>
            <w:r>
              <w:br/>
            </w:r>
            <w:r>
              <w:rPr>
                <w:rFonts w:ascii="Times New Roman"/>
                <w:b w:val="false"/>
                <w:i w:val="false"/>
                <w:color w:val="000000"/>
                <w:sz w:val="20"/>
              </w:rPr>
              <w:t xml:space="preserve">туралы ақпарат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5" w:id="29"/>
    <w:p>
      <w:pPr>
        <w:spacing w:after="0"/>
        <w:ind w:left="0"/>
        <w:jc w:val="left"/>
      </w:pPr>
      <w:r>
        <w:rPr>
          <w:rFonts w:ascii="Times New Roman"/>
          <w:b/>
          <w:i w:val="false"/>
          <w:color w:val="000000"/>
        </w:rPr>
        <w:t xml:space="preserve"> Мемлекеттік қызмет көрсету бизнес-процестерінің анықтамалығы </w:t>
      </w:r>
    </w:p>
    <w:bookmarkEnd w:id="29"/>
    <w:p>
      <w:pPr>
        <w:spacing w:after="0"/>
        <w:ind w:left="0"/>
        <w:jc w:val="left"/>
      </w:pP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