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a383" w14:textId="947a3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даму трансферттерін қарау және іріктеу қағидаларын бекіту туралы" Қазақстан Республикасы Қаржы министрінің 2015 жылғы 25 ақпандағы № 126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22 сәуірдегі № 372 бұйрығы. Қазақстан Республикасының Әділет министрлігінде 2019 жылғы 30 сәуірде № 18609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"Нысаналы даму трансферттерін қарау және іріктеу қағидаларын бекіту туралы" Қазақстан Республикасы Қаржы министрінің 2015 жылғы 25 ақпандағы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10593 болып тіркелген, "Әділет" ақпараттық-құқықтық жүйесінде 2015 жылғы 13 мамырда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Нысаналы даму трансферттерін қарау және іріктеу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"5-1. Нысаналы даму трансферттері республикалық бюджеттен облыстардың, республикалық маңызы бар қалалардың, астананың бюджеттеріне тиісті саланың орталық уәкілетті органдардың айқындауы бойынша өңірлерді инфрақұрылыммен қамтамасыз ету орташа республикалық деңгейден төмен болған кезде мемлекеттік бағдарламалар нәтижелерінің мақсаттарына, міндеттеріне, нысаналы индикаторларына және нәтижелер көрсеткіштеріне сәйкес бөлінеді.</w:t>
      </w:r>
    </w:p>
    <w:bookmarkEnd w:id="3"/>
    <w:p>
      <w:pPr>
        <w:spacing w:after="0"/>
        <w:ind w:left="0"/>
        <w:jc w:val="both"/>
      </w:pPr>
      <w:r>
        <w:rPr>
          <w:rFonts w:ascii="Times New Roman"/>
          <w:b w:val="false"/>
          <w:i w:val="false"/>
          <w:color w:val="000000"/>
          <w:sz w:val="28"/>
        </w:rPr>
        <w:t>
      Бұл ретте, республикалық бюджеттен:</w:t>
      </w:r>
    </w:p>
    <w:p>
      <w:pPr>
        <w:spacing w:after="0"/>
        <w:ind w:left="0"/>
        <w:jc w:val="both"/>
      </w:pPr>
      <w:r>
        <w:rPr>
          <w:rFonts w:ascii="Times New Roman"/>
          <w:b w:val="false"/>
          <w:i w:val="false"/>
          <w:color w:val="000000"/>
          <w:sz w:val="28"/>
        </w:rPr>
        <w:t xml:space="preserve">
      ауылдарда және қалаларда 3 және одан да көп ауысымды оқыту және оқушылар орындарының тапшылығы проблемасын шешетін апатты жай-күйде тұрған және бұзуға жататын мектептердің орнына қуаттылығы 300 және одан да көп, ал республикалық маңызы бар қалаларға және астанаға іргелес елді мекендерде қуаттылығы 300 аз жалпы білім беру мектептерін; </w:t>
      </w:r>
    </w:p>
    <w:p>
      <w:pPr>
        <w:spacing w:after="0"/>
        <w:ind w:left="0"/>
        <w:jc w:val="both"/>
      </w:pPr>
      <w:r>
        <w:rPr>
          <w:rFonts w:ascii="Times New Roman"/>
          <w:b w:val="false"/>
          <w:i w:val="false"/>
          <w:color w:val="000000"/>
          <w:sz w:val="28"/>
        </w:rPr>
        <w:t>
      медициналық көмектің қол жетімділігіне шектеу қаупін тудыратын апатты және бұзуға жататындардың орнына қуаттылығы кемінде 200 төсектік көп бейінді және туберкулезге қарсы ұйымдардың және ауысымына кемінде 250 адам қабылдайтын қуаттылығы бар емханалардың;</w:t>
      </w:r>
    </w:p>
    <w:p>
      <w:pPr>
        <w:spacing w:after="0"/>
        <w:ind w:left="0"/>
        <w:jc w:val="both"/>
      </w:pPr>
      <w:r>
        <w:rPr>
          <w:rFonts w:ascii="Times New Roman"/>
          <w:b w:val="false"/>
          <w:i w:val="false"/>
          <w:color w:val="000000"/>
          <w:sz w:val="28"/>
        </w:rPr>
        <w:t>
      республикалық маңызы бар қалалар мен астанаға іргелес, сондай-ақ республикалық маңызы бар қалалар мен астананың шетінде орналасқан елді мекендерде ауысымына кемінде 250 адам қабылдайтын амбулаторлық-емханалық ұйымдардың;</w:t>
      </w:r>
    </w:p>
    <w:p>
      <w:pPr>
        <w:spacing w:after="0"/>
        <w:ind w:left="0"/>
        <w:jc w:val="both"/>
      </w:pPr>
      <w:r>
        <w:rPr>
          <w:rFonts w:ascii="Times New Roman"/>
          <w:b w:val="false"/>
          <w:i w:val="false"/>
          <w:color w:val="000000"/>
          <w:sz w:val="28"/>
        </w:rPr>
        <w:t>
      жергілікті денсаулық сақтау ұйымдарына арналған қанды, оның құрауыштары мен препараттарын өндіру орталықтарының;</w:t>
      </w:r>
    </w:p>
    <w:p>
      <w:pPr>
        <w:spacing w:after="0"/>
        <w:ind w:left="0"/>
        <w:jc w:val="both"/>
      </w:pPr>
      <w:r>
        <w:rPr>
          <w:rFonts w:ascii="Times New Roman"/>
          <w:b w:val="false"/>
          <w:i w:val="false"/>
          <w:color w:val="000000"/>
          <w:sz w:val="28"/>
        </w:rPr>
        <w:t>
      психоневрологиялық медициналық-әлеуметтік мекемелерінің;</w:t>
      </w:r>
    </w:p>
    <w:p>
      <w:pPr>
        <w:spacing w:after="0"/>
        <w:ind w:left="0"/>
        <w:jc w:val="both"/>
      </w:pPr>
      <w:r>
        <w:rPr>
          <w:rFonts w:ascii="Times New Roman"/>
          <w:b w:val="false"/>
          <w:i w:val="false"/>
          <w:color w:val="000000"/>
          <w:sz w:val="28"/>
        </w:rPr>
        <w:t>
      балалар психоневрологиялық медициналық-әлеуметтік мекемелерінің;</w:t>
      </w:r>
    </w:p>
    <w:p>
      <w:pPr>
        <w:spacing w:after="0"/>
        <w:ind w:left="0"/>
        <w:jc w:val="both"/>
      </w:pPr>
      <w:r>
        <w:rPr>
          <w:rFonts w:ascii="Times New Roman"/>
          <w:b w:val="false"/>
          <w:i w:val="false"/>
          <w:color w:val="000000"/>
          <w:sz w:val="28"/>
        </w:rPr>
        <w:t xml:space="preserve">
      мүгедектерге арналған оңалту орталықтарының, оңалту және мүгедек балаларды бейімдеу орталықтарының; </w:t>
      </w:r>
    </w:p>
    <w:p>
      <w:pPr>
        <w:spacing w:after="0"/>
        <w:ind w:left="0"/>
        <w:jc w:val="both"/>
      </w:pPr>
      <w:r>
        <w:rPr>
          <w:rFonts w:ascii="Times New Roman"/>
          <w:b w:val="false"/>
          <w:i w:val="false"/>
          <w:color w:val="000000"/>
          <w:sz w:val="28"/>
        </w:rPr>
        <w:t>
      облыстық маңызы бар автокөлік жолдарының;</w:t>
      </w:r>
    </w:p>
    <w:p>
      <w:pPr>
        <w:spacing w:after="0"/>
        <w:ind w:left="0"/>
        <w:jc w:val="both"/>
      </w:pPr>
      <w:r>
        <w:rPr>
          <w:rFonts w:ascii="Times New Roman"/>
          <w:b w:val="false"/>
          <w:i w:val="false"/>
          <w:color w:val="000000"/>
          <w:sz w:val="28"/>
        </w:rPr>
        <w:t>
      тұрғын үй мен тұрғын үйге инженерлік-коммуникациялық инфрақұрылымның;</w:t>
      </w:r>
    </w:p>
    <w:p>
      <w:pPr>
        <w:spacing w:after="0"/>
        <w:ind w:left="0"/>
        <w:jc w:val="both"/>
      </w:pPr>
      <w:r>
        <w:rPr>
          <w:rFonts w:ascii="Times New Roman"/>
          <w:b w:val="false"/>
          <w:i w:val="false"/>
          <w:color w:val="000000"/>
          <w:sz w:val="28"/>
        </w:rPr>
        <w:t>
      объектілердің, ғимараттардың, сумен жабдықтау және су бұру желілерінің;</w:t>
      </w:r>
    </w:p>
    <w:p>
      <w:pPr>
        <w:spacing w:after="0"/>
        <w:ind w:left="0"/>
        <w:jc w:val="both"/>
      </w:pPr>
      <w:r>
        <w:rPr>
          <w:rFonts w:ascii="Times New Roman"/>
          <w:b w:val="false"/>
          <w:i w:val="false"/>
          <w:color w:val="000000"/>
          <w:sz w:val="28"/>
        </w:rPr>
        <w:t xml:space="preserve">
      республикалық маңызы бар қалалардың, елорданың көшелерінің; </w:t>
      </w:r>
    </w:p>
    <w:p>
      <w:pPr>
        <w:spacing w:after="0"/>
        <w:ind w:left="0"/>
        <w:jc w:val="both"/>
      </w:pPr>
      <w:r>
        <w:rPr>
          <w:rFonts w:ascii="Times New Roman"/>
          <w:b w:val="false"/>
          <w:i w:val="false"/>
          <w:color w:val="000000"/>
          <w:sz w:val="28"/>
        </w:rPr>
        <w:t>
      кернеуі 35/10/0,4 кВ жоғары, ал республикалық маңызы бар қалалар мен астанаға іргелес елді мекендерде және халық саны 20 мың адамнан 50 мың адамға дейін шағын қалаларда кернеуі 0,4 кВ және жоғары кіші станциялар мен электртаратушы желілерінің;</w:t>
      </w:r>
    </w:p>
    <w:p>
      <w:pPr>
        <w:spacing w:after="0"/>
        <w:ind w:left="0"/>
        <w:jc w:val="both"/>
      </w:pPr>
      <w:r>
        <w:rPr>
          <w:rFonts w:ascii="Times New Roman"/>
          <w:b w:val="false"/>
          <w:i w:val="false"/>
          <w:color w:val="000000"/>
          <w:sz w:val="28"/>
        </w:rPr>
        <w:t xml:space="preserve">
      қуаттылығы 100 Гкал/сағ жоғары, ал республикалық маңызы бар қалалар мен астанаға іргелес елді мекендерде және халық саны 20 мың адамнан 50 мың адамға дейін шағын қалаларда барлық қуаттылықтағы жылуэлектрорталықтарының және қазандықтарының; </w:t>
      </w:r>
    </w:p>
    <w:p>
      <w:pPr>
        <w:spacing w:after="0"/>
        <w:ind w:left="0"/>
        <w:jc w:val="both"/>
      </w:pPr>
      <w:r>
        <w:rPr>
          <w:rFonts w:ascii="Times New Roman"/>
          <w:b w:val="false"/>
          <w:i w:val="false"/>
          <w:color w:val="000000"/>
          <w:sz w:val="28"/>
        </w:rPr>
        <w:t>
      магистралды газқұбырларының, магистралды газқұбырларынан жоғары қысымды азқұбырларының-бұрулардың, автоматтандырылған газтаратушы станцияларының, жоғары қысымды кентаралық әкелуші газқұбырларының, елді мекендердің шекаралары (шегі) шегінде газтаратушы желілерінің;</w:t>
      </w:r>
    </w:p>
    <w:p>
      <w:pPr>
        <w:spacing w:after="0"/>
        <w:ind w:left="0"/>
        <w:jc w:val="both"/>
      </w:pPr>
      <w:r>
        <w:rPr>
          <w:rFonts w:ascii="Times New Roman"/>
          <w:b w:val="false"/>
          <w:i w:val="false"/>
          <w:color w:val="000000"/>
          <w:sz w:val="28"/>
        </w:rPr>
        <w:t xml:space="preserve">
      полигондардың (қауіпсіз емес, қатты тұрмыстық қалдықтар), пайдалану мерзімінен шыққан полигондарды қалпына келтірудің (қауіпсіз емес, қатты тұрмыстық қалдықтар) құрылысын салу, қайта қалпына келтіру, кеңейту мен жаңарту қаржыландырылады.". </w:t>
      </w:r>
    </w:p>
    <w:bookmarkStart w:name="z6"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w:t>
      </w:r>
    </w:p>
    <w:bookmarkEnd w:id="6"/>
    <w:bookmarkStart w:name="z9" w:id="7"/>
    <w:p>
      <w:pPr>
        <w:spacing w:after="0"/>
        <w:ind w:left="0"/>
        <w:jc w:val="both"/>
      </w:pPr>
      <w:r>
        <w:rPr>
          <w:rFonts w:ascii="Times New Roman"/>
          <w:b w:val="false"/>
          <w:i w:val="false"/>
          <w:color w:val="000000"/>
          <w:sz w:val="28"/>
        </w:rPr>
        <w:t xml:space="preserve">
      3) осы бұйрықтың Қазақстан Республикасы Қаржы министрлігінің интернет-ресурсында орналастырылуын; </w:t>
      </w:r>
    </w:p>
    <w:bookmarkEnd w:id="7"/>
    <w:bookmarkStart w:name="z10" w:id="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 </w:t>
      </w:r>
    </w:p>
    <w:bookmarkEnd w:id="8"/>
    <w:bookmarkStart w:name="z11" w:id="9"/>
    <w:p>
      <w:pPr>
        <w:spacing w:after="0"/>
        <w:ind w:left="0"/>
        <w:jc w:val="both"/>
      </w:pPr>
      <w:r>
        <w:rPr>
          <w:rFonts w:ascii="Times New Roman"/>
          <w:b w:val="false"/>
          <w:i w:val="false"/>
          <w:color w:val="000000"/>
          <w:sz w:val="28"/>
        </w:rPr>
        <w:t xml:space="preserve">
      3. Осы бұйрық мемлекеттік тіркелген күнінен бастап қолданысқа енгізіледі және ресми жариялануы тиіс.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Премьер-Министрінің </w:t>
            </w:r>
            <w:r>
              <w:br/>
            </w:r>
            <w:r>
              <w:rPr>
                <w:rFonts w:ascii="Times New Roman"/>
                <w:b w:val="false"/>
                <w:i/>
                <w:color w:val="000000"/>
                <w:sz w:val="20"/>
              </w:rPr>
              <w:t xml:space="preserve">бірінші орынбасары –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