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bb17" w14:textId="c90b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 бекіту туралы" Қазақстан Республикасы Энергетика министрiнің 2015 жылғы 25 желтоқсандағы № 762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2019 жылғы 2 мамырдағы № 149 бұйрығы. Қазақстан Республикасының Әділет министрлігінде 2019 жылғы 4 мамырда № 18626 болып тіркелді. Күші жойылды - Қазақстан Республикасы Экология, геология және табиғи ресурстар министрінің м.а. 2021 жылғы 2 қарашадағы № 448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02.02.2021 </w:t>
      </w:r>
      <w:r>
        <w:rPr>
          <w:rFonts w:ascii="Times New Roman"/>
          <w:b w:val="false"/>
          <w:i w:val="false"/>
          <w:color w:val="ff0000"/>
          <w:sz w:val="28"/>
        </w:rPr>
        <w:t>№ 448</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 бекіту туралы" Қазақстан Республикасы Энергетика министрінің 2015 жылғы 25 желтоқсандағы № 762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12753 тіркелген, "Әділет" ақпараттық-құқықтық жүйесінде 2016 жылғы 19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көрсетілуге тиіс.</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 мамырдағы</w:t>
            </w:r>
            <w:r>
              <w:br/>
            </w:r>
            <w:r>
              <w:rPr>
                <w:rFonts w:ascii="Times New Roman"/>
                <w:b w:val="false"/>
                <w:i w:val="false"/>
                <w:color w:val="000000"/>
                <w:sz w:val="20"/>
              </w:rPr>
              <w:t>№ 149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жинауды,</w:t>
            </w:r>
            <w:r>
              <w:br/>
            </w:r>
            <w:r>
              <w:rPr>
                <w:rFonts w:ascii="Times New Roman"/>
                <w:b w:val="false"/>
                <w:i w:val="false"/>
                <w:color w:val="000000"/>
                <w:sz w:val="20"/>
              </w:rPr>
              <w:t>тасымалдауды, қайта өңдеуді,</w:t>
            </w:r>
            <w:r>
              <w:br/>
            </w:r>
            <w:r>
              <w:rPr>
                <w:rFonts w:ascii="Times New Roman"/>
                <w:b w:val="false"/>
                <w:i w:val="false"/>
                <w:color w:val="000000"/>
                <w:sz w:val="20"/>
              </w:rPr>
              <w:t xml:space="preserve">залалсыздандыруды, </w:t>
            </w:r>
            <w:r>
              <w:br/>
            </w:r>
            <w:r>
              <w:rPr>
                <w:rFonts w:ascii="Times New Roman"/>
                <w:b w:val="false"/>
                <w:i w:val="false"/>
                <w:color w:val="000000"/>
                <w:sz w:val="20"/>
              </w:rPr>
              <w:t xml:space="preserve">пайдалануды және (немесе) </w:t>
            </w:r>
            <w:r>
              <w:br/>
            </w:r>
            <w:r>
              <w:rPr>
                <w:rFonts w:ascii="Times New Roman"/>
                <w:b w:val="false"/>
                <w:i w:val="false"/>
                <w:color w:val="000000"/>
                <w:sz w:val="20"/>
              </w:rPr>
              <w:t>кәдеге жаратуды</w:t>
            </w:r>
            <w:r>
              <w:br/>
            </w:r>
            <w:r>
              <w:rPr>
                <w:rFonts w:ascii="Times New Roman"/>
                <w:b w:val="false"/>
                <w:i w:val="false"/>
                <w:color w:val="000000"/>
                <w:sz w:val="20"/>
              </w:rPr>
              <w:t xml:space="preserve">ұйымдастырғаны үшін </w:t>
            </w:r>
            <w:r>
              <w:br/>
            </w:r>
            <w:r>
              <w:rPr>
                <w:rFonts w:ascii="Times New Roman"/>
                <w:b w:val="false"/>
                <w:i w:val="false"/>
                <w:color w:val="000000"/>
                <w:sz w:val="20"/>
              </w:rPr>
              <w:t xml:space="preserve">төлемақыны есептеу </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Автомобиль көлік құралдарына қатысты кәдеге жарату төлемақысының негізгі мөлшерлемесі және коэффициенттері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түрлері және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жаратудың негізгі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құралдарына қатысты кәдеге жаратудың негізгі мөлшерлемесіне қолданылатын коэффициенттері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М1 санатының көлік құралдары, соның ішінде G санатының жүріп өту мүмкіндігі жоғары: жеңіл автомобильдер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Буданды күштік қондырғысы бар көлік құралдарынан басқа, электр қозғалтқышы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см</w:t>
            </w:r>
            <w:r>
              <w:rPr>
                <w:rFonts w:ascii="Times New Roman"/>
                <w:b w:val="false"/>
                <w:i w:val="false"/>
                <w:color w:val="000000"/>
                <w:vertAlign w:val="superscript"/>
              </w:rPr>
              <w:t>3</w:t>
            </w:r>
            <w:r>
              <w:rPr>
                <w:rFonts w:ascii="Times New Roman"/>
                <w:b w:val="false"/>
                <w:i w:val="false"/>
                <w:color w:val="000000"/>
                <w:sz w:val="20"/>
              </w:rPr>
              <w:t>-тан 2 000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см</w:t>
            </w:r>
            <w:r>
              <w:rPr>
                <w:rFonts w:ascii="Times New Roman"/>
                <w:b w:val="false"/>
                <w:i w:val="false"/>
                <w:color w:val="000000"/>
                <w:vertAlign w:val="superscript"/>
              </w:rPr>
              <w:t>3</w:t>
            </w:r>
            <w:r>
              <w:rPr>
                <w:rFonts w:ascii="Times New Roman"/>
                <w:b w:val="false"/>
                <w:i w:val="false"/>
                <w:color w:val="000000"/>
                <w:sz w:val="20"/>
              </w:rPr>
              <w:t>-тан 3 000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см</w:t>
            </w:r>
            <w:r>
              <w:rPr>
                <w:rFonts w:ascii="Times New Roman"/>
                <w:b w:val="false"/>
                <w:i w:val="false"/>
                <w:color w:val="000000"/>
                <w:vertAlign w:val="superscript"/>
              </w:rPr>
              <w:t>3</w:t>
            </w:r>
            <w:r>
              <w:rPr>
                <w:rFonts w:ascii="Times New Roman"/>
                <w:b w:val="false"/>
                <w:i w:val="false"/>
                <w:color w:val="000000"/>
                <w:sz w:val="20"/>
              </w:rPr>
              <w:t>-тан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N1, N2, N3 санатының көлік құралдары, соның ішінде G санатының жүріп өту мүмкіндігі жоғары: жүк автомобильдері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тоннға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тоннадан 3,5 тоннға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тоннадан 5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тоннадан 8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тоннадан 12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тоннадан 20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тоннадан 50 тоннаға дейін, ершікті тартқыштардан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тоннадан 50 тоннаға дейінгі ершікті тартқыштар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М2, М3 санатының көлік құралдары, соның ішінде G санатының жүріп өту мүмкіндігі жоғары: автобустар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Буданды күштік қондырғысы бар көлік құралдарынан басқа, электр қозғалтқышы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см</w:t>
            </w:r>
            <w:r>
              <w:rPr>
                <w:rFonts w:ascii="Times New Roman"/>
                <w:b w:val="false"/>
                <w:i w:val="false"/>
                <w:color w:val="000000"/>
                <w:vertAlign w:val="superscript"/>
              </w:rPr>
              <w:t>3</w:t>
            </w:r>
            <w:r>
              <w:rPr>
                <w:rFonts w:ascii="Times New Roman"/>
                <w:b w:val="false"/>
                <w:i w:val="false"/>
                <w:color w:val="000000"/>
                <w:sz w:val="20"/>
              </w:rPr>
              <w:t>-тан 5 000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см</w:t>
            </w:r>
            <w:r>
              <w:rPr>
                <w:rFonts w:ascii="Times New Roman"/>
                <w:b w:val="false"/>
                <w:i w:val="false"/>
                <w:color w:val="000000"/>
                <w:vertAlign w:val="superscript"/>
              </w:rPr>
              <w:t>3</w:t>
            </w:r>
            <w:r>
              <w:rPr>
                <w:rFonts w:ascii="Times New Roman"/>
                <w:b w:val="false"/>
                <w:i w:val="false"/>
                <w:color w:val="000000"/>
                <w:sz w:val="20"/>
              </w:rPr>
              <w:t>-тан 10 000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см</w:t>
            </w:r>
            <w:r>
              <w:rPr>
                <w:rFonts w:ascii="Times New Roman"/>
                <w:b w:val="false"/>
                <w:i w:val="false"/>
                <w:color w:val="000000"/>
                <w:vertAlign w:val="superscript"/>
              </w:rPr>
              <w:t>3</w:t>
            </w:r>
            <w:r>
              <w:rPr>
                <w:rFonts w:ascii="Times New Roman"/>
                <w:b w:val="false"/>
                <w:i w:val="false"/>
                <w:color w:val="000000"/>
                <w:sz w:val="20"/>
              </w:rPr>
              <w:t xml:space="preserve">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