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2919" w14:textId="1f42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30 мамырдағы № 155 бұйрығы. Қазақстан Республикасының Әділет министрлігінде 2019 жылғы 31 мамырда № 18763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және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 </w:t>
      </w:r>
    </w:p>
    <w:bookmarkEnd w:id="0"/>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2018 жылғы 3 қазанда "Әділет" ақпараттық-құқықтық жүйесінде жарияланған) мынадай өзгеріс енгізілсін:</w:t>
      </w:r>
    </w:p>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архивтер көрсетілетін тауарлардың (жұмыстардың, көрсетілетін қызметтердің) тізбесі мен өткізілетін тауарлардың (жұмыстардың, көрсетілетін қызметтердің) баға прейскуранты көрсетілген ақпаратты мемлекеттік архивтердің ғимараттарының көрінетін жерінде орналастырады.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көрсетіліп, өткізілетін тауарлардың (жұмыстардың, көрсетілетін қызметтердің) баға прейскуранты облыстың, республикалық маңызы бар қаланың және астананың жергілікті атқарушы органымен бекітіледі.".</w:t>
      </w:r>
    </w:p>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